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17671A31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57F2C471" w14:textId="77777777" w:rsidR="00885C72" w:rsidRPr="00D25133" w:rsidRDefault="00885C72" w:rsidP="00582325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14:paraId="696475EE" w14:textId="580B34DE" w:rsidR="00A7450B" w:rsidRPr="0030047F" w:rsidRDefault="00A7450B" w:rsidP="00A7450B">
      <w:pPr>
        <w:spacing w:after="0" w:line="240" w:lineRule="auto"/>
        <w:ind w:right="-568"/>
        <w:jc w:val="both"/>
      </w:pPr>
      <w:r>
        <w:t>Normatizar a co</w:t>
      </w:r>
      <w:r w:rsidR="00A77FC5">
        <w:t xml:space="preserve">nduta das equipes assistenciais no que se refere a solicitação </w:t>
      </w:r>
      <w:r w:rsidR="00B271F0">
        <w:t xml:space="preserve">e realização do teste da orelhinha (emissões </w:t>
      </w:r>
      <w:proofErr w:type="spellStart"/>
      <w:r w:rsidR="00B271F0">
        <w:t>otoacústicas</w:t>
      </w:r>
      <w:proofErr w:type="spellEnd"/>
      <w:r w:rsidR="002477AC">
        <w:t xml:space="preserve"> evocadas</w:t>
      </w:r>
      <w:r w:rsidR="00D76685">
        <w:t>) no HMSH</w:t>
      </w:r>
      <w:r w:rsidR="0030047F">
        <w:t xml:space="preserve">. O teste é obrigatório desde a Lei Federal </w:t>
      </w:r>
      <w:r w:rsidR="0030047F" w:rsidRPr="0030047F">
        <w:rPr>
          <w:rFonts w:cstheme="minorHAnsi"/>
        </w:rPr>
        <w:t>n</w:t>
      </w:r>
      <w:r w:rsidR="0030047F" w:rsidRPr="0030047F">
        <w:rPr>
          <w:rFonts w:cstheme="minorHAnsi"/>
          <w:vertAlign w:val="superscript"/>
        </w:rPr>
        <w:t xml:space="preserve">o </w:t>
      </w:r>
      <w:r w:rsidR="0030047F" w:rsidRPr="0030047F">
        <w:rPr>
          <w:rFonts w:cstheme="minorHAnsi"/>
          <w:color w:val="202124"/>
          <w:shd w:val="clear" w:color="auto" w:fill="FFFFFF"/>
        </w:rPr>
        <w:t>12.303/2010</w:t>
      </w:r>
      <w:r w:rsidR="0030047F">
        <w:rPr>
          <w:rFonts w:cstheme="minorHAnsi"/>
          <w:color w:val="202124"/>
          <w:shd w:val="clear" w:color="auto" w:fill="FFFFFF"/>
        </w:rPr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85C72" w:rsidRPr="00D25133" w14:paraId="6A3CCB55" w14:textId="77777777" w:rsidTr="009D53DF">
        <w:tc>
          <w:tcPr>
            <w:tcW w:w="9067" w:type="dxa"/>
            <w:shd w:val="clear" w:color="auto" w:fill="D9D9D9" w:themeFill="background1" w:themeFillShade="D9"/>
          </w:tcPr>
          <w:p w14:paraId="4E0D2B23" w14:textId="77777777" w:rsidR="00885C72" w:rsidRPr="00D25133" w:rsidRDefault="00885C72" w:rsidP="00582325">
            <w:pPr>
              <w:jc w:val="center"/>
            </w:pPr>
            <w:r w:rsidRPr="00D25133">
              <w:rPr>
                <w:b/>
              </w:rPr>
              <w:t>Materiais / Documentos necessários</w:t>
            </w:r>
          </w:p>
        </w:tc>
      </w:tr>
    </w:tbl>
    <w:p w14:paraId="2AAEC153" w14:textId="3F6E8B29" w:rsidR="00AD544B" w:rsidRPr="000A606C" w:rsidRDefault="003E5795" w:rsidP="000A606C">
      <w:pPr>
        <w:spacing w:after="0" w:line="240" w:lineRule="auto"/>
        <w:ind w:right="-568"/>
        <w:jc w:val="both"/>
      </w:pPr>
      <w:r>
        <w:t>Planilhas para controle administrativo dos exames e consultas disponíveis no setor</w:t>
      </w:r>
      <w:r w:rsidR="000A606C">
        <w:t>;</w:t>
      </w:r>
      <w:r w:rsidR="000F0B69">
        <w:t xml:space="preserve"> formulário SADT; receituário;</w:t>
      </w:r>
      <w:r w:rsidR="000A606C">
        <w:t xml:space="preserve"> </w:t>
      </w:r>
      <w:r w:rsidR="00E13F4D" w:rsidRPr="00D76685">
        <w:t>TCLE.028 REALIZAÇÃO DE TESTES DE TRIAGEM EM RECÉM-NASCIDOS</w:t>
      </w:r>
      <w:r w:rsidR="000A606C" w:rsidRPr="00D76685">
        <w:t>.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885C72" w:rsidRPr="00D25133" w14:paraId="53107DE3" w14:textId="77777777" w:rsidTr="009D53D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8572AC4" w14:textId="77777777" w:rsidR="00885C72" w:rsidRPr="00D25133" w:rsidRDefault="00885C72" w:rsidP="00582325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procedimento</w:t>
            </w:r>
          </w:p>
        </w:tc>
      </w:tr>
      <w:tr w:rsidR="00885C72" w:rsidRPr="00D25133" w14:paraId="41052285" w14:textId="77777777" w:rsidTr="003051B1">
        <w:tc>
          <w:tcPr>
            <w:tcW w:w="1980" w:type="dxa"/>
            <w:shd w:val="clear" w:color="auto" w:fill="FFFFFF" w:themeFill="background1"/>
          </w:tcPr>
          <w:p w14:paraId="3ABA61C1" w14:textId="77777777" w:rsidR="00885C72" w:rsidRPr="00D25133" w:rsidRDefault="00885C72" w:rsidP="00582325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7087" w:type="dxa"/>
            <w:shd w:val="clear" w:color="auto" w:fill="FFFFFF" w:themeFill="background1"/>
          </w:tcPr>
          <w:p w14:paraId="1B44FF5C" w14:textId="77777777" w:rsidR="00885C72" w:rsidRPr="00D25133" w:rsidRDefault="00885C72" w:rsidP="00582325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180864" w:rsidRPr="00D25133" w14:paraId="400683A9" w14:textId="77777777" w:rsidTr="00D76685"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375D6DA2" w14:textId="469294FA" w:rsidR="00180864" w:rsidRPr="00D25133" w:rsidRDefault="00180864" w:rsidP="00D76685">
            <w:pPr>
              <w:ind w:right="-1"/>
              <w:jc w:val="center"/>
              <w:rPr>
                <w:b/>
              </w:rPr>
            </w:pPr>
            <w:r>
              <w:t>Pediatra</w:t>
            </w:r>
          </w:p>
        </w:tc>
        <w:tc>
          <w:tcPr>
            <w:tcW w:w="7087" w:type="dxa"/>
            <w:shd w:val="clear" w:color="auto" w:fill="FFFFFF" w:themeFill="background1"/>
          </w:tcPr>
          <w:p w14:paraId="271B6A8C" w14:textId="77777777" w:rsidR="00180864" w:rsidRDefault="00180864" w:rsidP="00180864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ind w:right="-1"/>
              <w:jc w:val="both"/>
            </w:pPr>
            <w:r>
              <w:t>Berçário: para todo RN, fazer um pedido no formulário SADT (para os convênios que possuem esta guia) ou em receituário;</w:t>
            </w:r>
          </w:p>
          <w:p w14:paraId="1643BF17" w14:textId="1B33A1EE" w:rsidR="00180864" w:rsidRPr="001062EF" w:rsidRDefault="00180864" w:rsidP="00257CC2">
            <w:pPr>
              <w:pStyle w:val="PargrafodaLista"/>
              <w:numPr>
                <w:ilvl w:val="0"/>
                <w:numId w:val="41"/>
              </w:numPr>
              <w:spacing w:after="0" w:line="240" w:lineRule="auto"/>
              <w:ind w:right="-1"/>
              <w:jc w:val="both"/>
            </w:pPr>
            <w:r>
              <w:t xml:space="preserve">RN em UI e UTIN: </w:t>
            </w:r>
            <w:r w:rsidR="00257CC2">
              <w:t>fazer um pedido no formulário SADT (para os convênios que possuem esta guia) ou em receituário</w:t>
            </w:r>
            <w:r>
              <w:t>;</w:t>
            </w:r>
          </w:p>
        </w:tc>
      </w:tr>
      <w:tr w:rsidR="00180864" w:rsidRPr="00D25133" w14:paraId="4E1665E2" w14:textId="77777777" w:rsidTr="00D76685"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4A608146" w14:textId="0702C7CC" w:rsidR="00180864" w:rsidRPr="00CD1376" w:rsidRDefault="00180864" w:rsidP="00D76685">
            <w:pPr>
              <w:ind w:right="-1"/>
              <w:jc w:val="center"/>
            </w:pPr>
          </w:p>
        </w:tc>
        <w:tc>
          <w:tcPr>
            <w:tcW w:w="7087" w:type="dxa"/>
            <w:shd w:val="clear" w:color="auto" w:fill="FFFFFF" w:themeFill="background1"/>
          </w:tcPr>
          <w:p w14:paraId="734C383D" w14:textId="397C3A12" w:rsidR="00180864" w:rsidRPr="00CD1376" w:rsidRDefault="00180864" w:rsidP="001062EF">
            <w:pPr>
              <w:ind w:right="-1"/>
              <w:jc w:val="both"/>
            </w:pPr>
            <w:r>
              <w:t xml:space="preserve">Solicitar realização ambulatorial do </w:t>
            </w:r>
            <w:r w:rsidRPr="006F68CD">
              <w:t>PEATE</w:t>
            </w:r>
            <w:r>
              <w:t xml:space="preserve"> quando o RN for considerado de alto risco e permanecer internado n</w:t>
            </w:r>
            <w:r w:rsidR="008A5D6C">
              <w:t>o HMSH</w:t>
            </w:r>
            <w:r>
              <w:t xml:space="preserve"> (deve realizar o exame e voltar)</w:t>
            </w:r>
          </w:p>
        </w:tc>
      </w:tr>
      <w:tr w:rsidR="007C7BA3" w:rsidRPr="00D25133" w14:paraId="2ACD7396" w14:textId="77777777" w:rsidTr="00D76685">
        <w:tc>
          <w:tcPr>
            <w:tcW w:w="1980" w:type="dxa"/>
            <w:shd w:val="clear" w:color="auto" w:fill="FFFFFF" w:themeFill="background1"/>
            <w:vAlign w:val="center"/>
          </w:tcPr>
          <w:p w14:paraId="698944C3" w14:textId="1DD10A87" w:rsidR="007C7BA3" w:rsidRPr="00CD1376" w:rsidRDefault="007C7BA3" w:rsidP="00D76685">
            <w:pPr>
              <w:ind w:right="-1"/>
              <w:jc w:val="center"/>
            </w:pPr>
            <w:r>
              <w:t>Pediatra</w:t>
            </w:r>
          </w:p>
        </w:tc>
        <w:tc>
          <w:tcPr>
            <w:tcW w:w="7087" w:type="dxa"/>
            <w:shd w:val="clear" w:color="auto" w:fill="FFFFFF" w:themeFill="background1"/>
          </w:tcPr>
          <w:p w14:paraId="2C8B8AE7" w14:textId="77777777" w:rsidR="007C7BA3" w:rsidRDefault="007C7BA3" w:rsidP="007C7BA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ind w:right="-1"/>
              <w:jc w:val="both"/>
            </w:pPr>
            <w:r>
              <w:t>Se já existe contrato para liberação da realização do teste da orelhinha na maternidade pelo convênio:</w:t>
            </w:r>
          </w:p>
          <w:p w14:paraId="005C95DD" w14:textId="45107C93" w:rsidR="007C7BA3" w:rsidRDefault="007C7BA3" w:rsidP="007C7BA3">
            <w:pPr>
              <w:pStyle w:val="PargrafodaLista"/>
              <w:spacing w:after="0" w:line="240" w:lineRule="auto"/>
              <w:ind w:left="1080" w:right="-1"/>
              <w:jc w:val="both"/>
            </w:pPr>
            <w:r>
              <w:t xml:space="preserve">a.1 - Realizar o pedido médico através da guia SADT; </w:t>
            </w:r>
          </w:p>
          <w:p w14:paraId="7AEDFFDF" w14:textId="77777777" w:rsidR="007C7BA3" w:rsidRDefault="007C7BA3" w:rsidP="007C7BA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ind w:right="-1"/>
              <w:jc w:val="both"/>
            </w:pPr>
            <w:r>
              <w:t>Se o convênio somente libera o exame em regime ambulatorial (após a alta da maternidade):</w:t>
            </w:r>
          </w:p>
          <w:p w14:paraId="177DFDE2" w14:textId="7AB26BAB" w:rsidR="007C7BA3" w:rsidRDefault="007C7BA3" w:rsidP="007C7BA3">
            <w:pPr>
              <w:ind w:right="-1"/>
              <w:jc w:val="both"/>
            </w:pPr>
            <w:r>
              <w:t xml:space="preserve">                      b.1 - Entregar pedido à família para marcar o exame em caráter ambulatorial;</w:t>
            </w:r>
          </w:p>
          <w:p w14:paraId="7D0B4619" w14:textId="77777777" w:rsidR="007C7BA3" w:rsidRDefault="007C7BA3" w:rsidP="007C7BA3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ind w:right="-1"/>
              <w:jc w:val="both"/>
            </w:pPr>
            <w:r>
              <w:t>Nos casos em que familiar aceitar realizar o exame em caráter particular:</w:t>
            </w:r>
          </w:p>
          <w:p w14:paraId="521FD8D0" w14:textId="5881AD8A" w:rsidR="007C7BA3" w:rsidRDefault="007C7BA3" w:rsidP="007C7BA3">
            <w:pPr>
              <w:ind w:right="-1"/>
              <w:jc w:val="both"/>
            </w:pPr>
            <w:r>
              <w:t xml:space="preserve">                     c.1 - Realizar pedido em receituário;</w:t>
            </w:r>
          </w:p>
        </w:tc>
      </w:tr>
      <w:tr w:rsidR="008A5D6C" w:rsidRPr="00D25133" w14:paraId="252353D9" w14:textId="77777777" w:rsidTr="003051B1">
        <w:tc>
          <w:tcPr>
            <w:tcW w:w="1980" w:type="dxa"/>
            <w:vMerge w:val="restart"/>
            <w:shd w:val="clear" w:color="auto" w:fill="FFFFFF" w:themeFill="background1"/>
          </w:tcPr>
          <w:p w14:paraId="1B825668" w14:textId="5E4AB1D7" w:rsidR="008A5D6C" w:rsidRPr="00CD1376" w:rsidRDefault="008A5D6C" w:rsidP="008A5D6C">
            <w:pPr>
              <w:ind w:right="-1"/>
              <w:jc w:val="center"/>
            </w:pPr>
            <w:r>
              <w:t xml:space="preserve">Técnico de enfermagem ou </w:t>
            </w:r>
            <w:r w:rsidRPr="00CD1376">
              <w:t>Enfermeira do berçário</w:t>
            </w:r>
          </w:p>
        </w:tc>
        <w:tc>
          <w:tcPr>
            <w:tcW w:w="7087" w:type="dxa"/>
            <w:shd w:val="clear" w:color="auto" w:fill="FFFFFF" w:themeFill="background1"/>
          </w:tcPr>
          <w:p w14:paraId="72398EAC" w14:textId="4988755C" w:rsidR="008A5D6C" w:rsidRDefault="008A5D6C" w:rsidP="001062EF">
            <w:pPr>
              <w:ind w:right="-1"/>
              <w:jc w:val="both"/>
            </w:pPr>
            <w:r>
              <w:t>Apresentar ao responsável o TCLE.028 e a possibilidade de realização do exame no HMSH;</w:t>
            </w:r>
          </w:p>
        </w:tc>
      </w:tr>
      <w:tr w:rsidR="008A5D6C" w:rsidRPr="00D25133" w14:paraId="458E4AEA" w14:textId="77777777" w:rsidTr="003051B1">
        <w:tc>
          <w:tcPr>
            <w:tcW w:w="1980" w:type="dxa"/>
            <w:vMerge/>
            <w:shd w:val="clear" w:color="auto" w:fill="FFFFFF" w:themeFill="background1"/>
          </w:tcPr>
          <w:p w14:paraId="3BF1A4FA" w14:textId="40030A0F" w:rsidR="008A5D6C" w:rsidRDefault="008A5D6C" w:rsidP="001062EF">
            <w:pPr>
              <w:ind w:right="-1"/>
              <w:jc w:val="center"/>
            </w:pPr>
          </w:p>
        </w:tc>
        <w:tc>
          <w:tcPr>
            <w:tcW w:w="7087" w:type="dxa"/>
            <w:shd w:val="clear" w:color="auto" w:fill="FFFFFF" w:themeFill="background1"/>
          </w:tcPr>
          <w:p w14:paraId="4052DA52" w14:textId="385A277D" w:rsidR="008A5D6C" w:rsidRPr="00CD1376" w:rsidRDefault="008A5D6C" w:rsidP="001062EF">
            <w:pPr>
              <w:ind w:right="-1"/>
              <w:jc w:val="both"/>
            </w:pPr>
            <w:r>
              <w:t xml:space="preserve">Arquivar </w:t>
            </w:r>
            <w:r w:rsidRPr="00CD1376">
              <w:t>o TCLE</w:t>
            </w:r>
            <w:r>
              <w:t>.028 em pasta específica para este fim;</w:t>
            </w:r>
          </w:p>
        </w:tc>
      </w:tr>
      <w:tr w:rsidR="001062EF" w:rsidRPr="00D25133" w14:paraId="6366F159" w14:textId="77777777" w:rsidTr="00D76685">
        <w:tc>
          <w:tcPr>
            <w:tcW w:w="1980" w:type="dxa"/>
            <w:vMerge w:val="restart"/>
            <w:shd w:val="clear" w:color="auto" w:fill="FFFFFF" w:themeFill="background1"/>
            <w:vAlign w:val="center"/>
          </w:tcPr>
          <w:p w14:paraId="2CA796C2" w14:textId="603C05DE" w:rsidR="001062EF" w:rsidRDefault="001062EF" w:rsidP="00D76685">
            <w:pPr>
              <w:ind w:right="-1"/>
              <w:jc w:val="center"/>
            </w:pPr>
            <w:r>
              <w:t>Enfermeira</w:t>
            </w:r>
          </w:p>
        </w:tc>
        <w:tc>
          <w:tcPr>
            <w:tcW w:w="7087" w:type="dxa"/>
            <w:shd w:val="clear" w:color="auto" w:fill="FFFFFF" w:themeFill="background1"/>
          </w:tcPr>
          <w:p w14:paraId="344F5B1B" w14:textId="574AAE42" w:rsidR="001062EF" w:rsidRPr="00CD1376" w:rsidRDefault="001062EF" w:rsidP="00E2030A">
            <w:pPr>
              <w:ind w:right="-1"/>
              <w:jc w:val="both"/>
            </w:pPr>
            <w:r w:rsidRPr="00DC4DF6">
              <w:rPr>
                <w:rFonts w:cstheme="minorHAnsi"/>
              </w:rPr>
              <w:t xml:space="preserve">Preencher a Planilha de </w:t>
            </w:r>
            <w:r>
              <w:rPr>
                <w:rFonts w:cstheme="minorHAnsi"/>
              </w:rPr>
              <w:t>EOA (</w:t>
            </w:r>
            <w:r w:rsidRPr="006F68CD">
              <w:rPr>
                <w:rFonts w:cstheme="minorHAnsi"/>
              </w:rPr>
              <w:t>TESTE DA ORELHINHA</w:t>
            </w:r>
            <w:r>
              <w:rPr>
                <w:rFonts w:cstheme="minorHAnsi"/>
              </w:rPr>
              <w:t>)</w:t>
            </w:r>
            <w:r w:rsidRPr="006F68CD">
              <w:rPr>
                <w:rFonts w:cstheme="minorHAnsi"/>
              </w:rPr>
              <w:t xml:space="preserve"> </w:t>
            </w:r>
            <w:r w:rsidRPr="00DC4DF6">
              <w:rPr>
                <w:rFonts w:cstheme="minorHAnsi"/>
              </w:rPr>
              <w:t>, colocando a etiqueta de identificação do RN e preenchen</w:t>
            </w:r>
            <w:r w:rsidR="00E2030A">
              <w:rPr>
                <w:rFonts w:cstheme="minorHAnsi"/>
              </w:rPr>
              <w:t>do os campos de sua competência;</w:t>
            </w:r>
          </w:p>
        </w:tc>
      </w:tr>
      <w:tr w:rsidR="001062EF" w:rsidRPr="00D25133" w14:paraId="33BA769A" w14:textId="77777777" w:rsidTr="00D76685"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7AEBA200" w14:textId="6BE6B68A" w:rsidR="001062EF" w:rsidRPr="0030047F" w:rsidRDefault="001062EF" w:rsidP="00D76685">
            <w:pPr>
              <w:ind w:right="-1"/>
              <w:jc w:val="center"/>
            </w:pPr>
          </w:p>
        </w:tc>
        <w:tc>
          <w:tcPr>
            <w:tcW w:w="7087" w:type="dxa"/>
            <w:shd w:val="clear" w:color="auto" w:fill="FFFFFF" w:themeFill="background1"/>
          </w:tcPr>
          <w:p w14:paraId="3CB2D5A2" w14:textId="7C10D6B2" w:rsidR="001062EF" w:rsidRPr="0030047F" w:rsidRDefault="00800B87" w:rsidP="00800B87">
            <w:pPr>
              <w:ind w:right="-1"/>
              <w:jc w:val="both"/>
            </w:pPr>
            <w:r>
              <w:rPr>
                <w:color w:val="000000"/>
              </w:rPr>
              <w:t>Comunicar ao secretário de clínica os casos em que os convênios exigem autorização prévia;</w:t>
            </w:r>
          </w:p>
        </w:tc>
      </w:tr>
      <w:tr w:rsidR="001062EF" w:rsidRPr="00D25133" w14:paraId="0F963F0A" w14:textId="77777777" w:rsidTr="00D76685">
        <w:tc>
          <w:tcPr>
            <w:tcW w:w="1980" w:type="dxa"/>
            <w:vMerge/>
            <w:shd w:val="clear" w:color="auto" w:fill="FFFFFF" w:themeFill="background1"/>
            <w:vAlign w:val="center"/>
          </w:tcPr>
          <w:p w14:paraId="4274B61A" w14:textId="77777777" w:rsidR="001062EF" w:rsidRPr="0030047F" w:rsidRDefault="001062EF" w:rsidP="00D76685">
            <w:pPr>
              <w:ind w:right="-1"/>
              <w:jc w:val="center"/>
            </w:pPr>
          </w:p>
        </w:tc>
        <w:tc>
          <w:tcPr>
            <w:tcW w:w="7087" w:type="dxa"/>
            <w:shd w:val="clear" w:color="auto" w:fill="FFFFFF" w:themeFill="background1"/>
          </w:tcPr>
          <w:p w14:paraId="127AE455" w14:textId="56D6F6A5" w:rsidR="001062EF" w:rsidRPr="00435C8E" w:rsidRDefault="00800B87" w:rsidP="00E2030A">
            <w:pPr>
              <w:ind w:right="-1"/>
              <w:jc w:val="both"/>
              <w:rPr>
                <w:color w:val="000000"/>
              </w:rPr>
            </w:pPr>
            <w:r w:rsidRPr="00435C8E">
              <w:rPr>
                <w:color w:val="000000"/>
              </w:rPr>
              <w:t xml:space="preserve">Enviar foto aos fonoaudiólogos, via </w:t>
            </w:r>
            <w:r>
              <w:t>WhatsApp, conforme autorização;</w:t>
            </w:r>
          </w:p>
        </w:tc>
      </w:tr>
      <w:tr w:rsidR="001062EF" w:rsidRPr="00D25133" w14:paraId="5E56ECDE" w14:textId="77777777" w:rsidTr="00D76685">
        <w:trPr>
          <w:trHeight w:val="260"/>
        </w:trPr>
        <w:tc>
          <w:tcPr>
            <w:tcW w:w="1980" w:type="dxa"/>
            <w:vAlign w:val="center"/>
          </w:tcPr>
          <w:p w14:paraId="4D763DAE" w14:textId="1A3CF153" w:rsidR="001062EF" w:rsidRDefault="001062EF" w:rsidP="00D76685">
            <w:pPr>
              <w:ind w:right="-1"/>
              <w:jc w:val="center"/>
            </w:pPr>
            <w:r>
              <w:t>Secretário Clínico</w:t>
            </w:r>
          </w:p>
        </w:tc>
        <w:tc>
          <w:tcPr>
            <w:tcW w:w="7087" w:type="dxa"/>
          </w:tcPr>
          <w:p w14:paraId="4C290FFB" w14:textId="44A054FE" w:rsidR="001062EF" w:rsidRDefault="00A03338" w:rsidP="001062EF">
            <w:pPr>
              <w:ind w:right="-1"/>
              <w:jc w:val="both"/>
            </w:pPr>
            <w:r>
              <w:t>Encaminhar a guia SADT à</w:t>
            </w:r>
            <w:r w:rsidR="001062EF">
              <w:t xml:space="preserve"> central de autorização, nos casos dos convênios que exigem autorização prévia para a realização;</w:t>
            </w:r>
          </w:p>
        </w:tc>
      </w:tr>
      <w:tr w:rsidR="001062EF" w:rsidRPr="00D25133" w14:paraId="6E406613" w14:textId="77777777" w:rsidTr="00D76685">
        <w:trPr>
          <w:trHeight w:val="260"/>
        </w:trPr>
        <w:tc>
          <w:tcPr>
            <w:tcW w:w="1980" w:type="dxa"/>
            <w:vAlign w:val="center"/>
          </w:tcPr>
          <w:p w14:paraId="3C52ACC2" w14:textId="1AEFE081" w:rsidR="001062EF" w:rsidRDefault="001062EF" w:rsidP="00D76685">
            <w:pPr>
              <w:ind w:right="-1"/>
              <w:jc w:val="center"/>
            </w:pPr>
            <w:r>
              <w:t>Central de Autorização</w:t>
            </w:r>
          </w:p>
        </w:tc>
        <w:tc>
          <w:tcPr>
            <w:tcW w:w="7087" w:type="dxa"/>
          </w:tcPr>
          <w:p w14:paraId="4ABA75A7" w14:textId="58D512E6" w:rsidR="001062EF" w:rsidRDefault="001062EF" w:rsidP="001062EF">
            <w:pPr>
              <w:ind w:right="-1"/>
              <w:jc w:val="both"/>
            </w:pPr>
            <w:r>
              <w:t>Solicitar autorização do exame ao convênio e informar ao secretário clínico após retorno do convênio;</w:t>
            </w:r>
          </w:p>
        </w:tc>
      </w:tr>
      <w:tr w:rsidR="001062EF" w:rsidRPr="00D25133" w14:paraId="63D2ED6F" w14:textId="77777777" w:rsidTr="00D76685">
        <w:trPr>
          <w:trHeight w:val="45"/>
        </w:trPr>
        <w:tc>
          <w:tcPr>
            <w:tcW w:w="1980" w:type="dxa"/>
            <w:vMerge w:val="restart"/>
            <w:vAlign w:val="center"/>
          </w:tcPr>
          <w:p w14:paraId="2A99D8D9" w14:textId="23E675C7" w:rsidR="001062EF" w:rsidRDefault="001062EF" w:rsidP="00D76685">
            <w:pPr>
              <w:ind w:right="-1"/>
              <w:jc w:val="center"/>
            </w:pPr>
            <w:r>
              <w:t>Secretário Clínico</w:t>
            </w:r>
          </w:p>
        </w:tc>
        <w:tc>
          <w:tcPr>
            <w:tcW w:w="7087" w:type="dxa"/>
          </w:tcPr>
          <w:p w14:paraId="6B20C92F" w14:textId="2F0688BB" w:rsidR="001062EF" w:rsidRDefault="001062EF" w:rsidP="001062E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Sinalizar em planilha do teste da orelhinha a autorização ou negativa do convênio;</w:t>
            </w:r>
          </w:p>
        </w:tc>
      </w:tr>
      <w:tr w:rsidR="001062EF" w:rsidRPr="00D25133" w14:paraId="4D2BAD00" w14:textId="77777777" w:rsidTr="00D76685">
        <w:trPr>
          <w:trHeight w:val="280"/>
        </w:trPr>
        <w:tc>
          <w:tcPr>
            <w:tcW w:w="1980" w:type="dxa"/>
            <w:vMerge/>
            <w:vAlign w:val="center"/>
          </w:tcPr>
          <w:p w14:paraId="0567D9D0" w14:textId="77777777" w:rsidR="001062EF" w:rsidRDefault="001062EF" w:rsidP="00D76685">
            <w:pPr>
              <w:ind w:right="-1"/>
              <w:jc w:val="center"/>
            </w:pPr>
          </w:p>
        </w:tc>
        <w:tc>
          <w:tcPr>
            <w:tcW w:w="7087" w:type="dxa"/>
          </w:tcPr>
          <w:p w14:paraId="7C1BAF94" w14:textId="70CEE14F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Comunicar à enfermeira os casos de negativa do convênio;</w:t>
            </w:r>
          </w:p>
        </w:tc>
      </w:tr>
      <w:tr w:rsidR="001062EF" w:rsidRPr="00D25133" w14:paraId="3CF37005" w14:textId="77777777" w:rsidTr="00D76685">
        <w:trPr>
          <w:trHeight w:val="280"/>
        </w:trPr>
        <w:tc>
          <w:tcPr>
            <w:tcW w:w="1980" w:type="dxa"/>
            <w:vMerge w:val="restart"/>
            <w:vAlign w:val="center"/>
          </w:tcPr>
          <w:p w14:paraId="206B3F0C" w14:textId="481DDD5E" w:rsidR="001062EF" w:rsidRDefault="001062EF" w:rsidP="00D76685">
            <w:pPr>
              <w:ind w:right="-1"/>
              <w:jc w:val="center"/>
            </w:pPr>
            <w:r>
              <w:t>Enfermeira</w:t>
            </w:r>
          </w:p>
        </w:tc>
        <w:tc>
          <w:tcPr>
            <w:tcW w:w="7087" w:type="dxa"/>
          </w:tcPr>
          <w:p w14:paraId="4D5E7D22" w14:textId="2D9152DC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Informar à genitora quanto à negativa do convênio e oferecer a realização do mesmo em caráter particular;</w:t>
            </w:r>
          </w:p>
        </w:tc>
      </w:tr>
      <w:tr w:rsidR="001062EF" w:rsidRPr="00D25133" w14:paraId="04035EA2" w14:textId="77777777" w:rsidTr="00D76685">
        <w:trPr>
          <w:trHeight w:val="280"/>
        </w:trPr>
        <w:tc>
          <w:tcPr>
            <w:tcW w:w="1980" w:type="dxa"/>
            <w:vMerge/>
            <w:vAlign w:val="center"/>
          </w:tcPr>
          <w:p w14:paraId="332775F9" w14:textId="77777777" w:rsidR="001062EF" w:rsidRDefault="001062EF" w:rsidP="00D76685">
            <w:pPr>
              <w:ind w:right="-1"/>
              <w:jc w:val="center"/>
            </w:pPr>
          </w:p>
        </w:tc>
        <w:tc>
          <w:tcPr>
            <w:tcW w:w="7087" w:type="dxa"/>
          </w:tcPr>
          <w:p w14:paraId="0BE5A54E" w14:textId="42CE3015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Aplicar novo TCLE.028 em casos de aceitação do exame por via particular;</w:t>
            </w:r>
          </w:p>
        </w:tc>
      </w:tr>
      <w:tr w:rsidR="001062EF" w:rsidRPr="00D25133" w14:paraId="187E97E5" w14:textId="77777777" w:rsidTr="00D76685">
        <w:trPr>
          <w:trHeight w:val="280"/>
        </w:trPr>
        <w:tc>
          <w:tcPr>
            <w:tcW w:w="1980" w:type="dxa"/>
            <w:vAlign w:val="center"/>
          </w:tcPr>
          <w:p w14:paraId="27C2A1E9" w14:textId="743406FE" w:rsidR="001062EF" w:rsidRDefault="001062EF" w:rsidP="00D76685">
            <w:pPr>
              <w:ind w:right="-1"/>
              <w:jc w:val="center"/>
            </w:pPr>
            <w:r>
              <w:t>Secretário Clínico</w:t>
            </w:r>
          </w:p>
        </w:tc>
        <w:tc>
          <w:tcPr>
            <w:tcW w:w="7087" w:type="dxa"/>
          </w:tcPr>
          <w:p w14:paraId="70CA35CB" w14:textId="18E4B836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Sinalizar na planilha do teste da orelhinha a realização</w:t>
            </w:r>
            <w:r w:rsidR="00724C6B">
              <w:rPr>
                <w:color w:val="000000"/>
              </w:rPr>
              <w:t xml:space="preserve"> do exame</w:t>
            </w:r>
            <w:r>
              <w:rPr>
                <w:color w:val="000000"/>
              </w:rPr>
              <w:t xml:space="preserve"> em caráter particular;</w:t>
            </w:r>
          </w:p>
        </w:tc>
      </w:tr>
      <w:tr w:rsidR="001062EF" w:rsidRPr="00D25133" w14:paraId="56CC295D" w14:textId="77777777" w:rsidTr="00D76685">
        <w:trPr>
          <w:trHeight w:val="280"/>
        </w:trPr>
        <w:tc>
          <w:tcPr>
            <w:tcW w:w="1980" w:type="dxa"/>
            <w:vMerge w:val="restart"/>
            <w:vAlign w:val="center"/>
          </w:tcPr>
          <w:p w14:paraId="14281BDC" w14:textId="687060C0" w:rsidR="001062EF" w:rsidRDefault="001062EF" w:rsidP="00D76685">
            <w:pPr>
              <w:ind w:right="-1"/>
              <w:jc w:val="center"/>
            </w:pPr>
            <w:r>
              <w:t>Fonoaudiólogo</w:t>
            </w:r>
          </w:p>
          <w:p w14:paraId="0CCE7FD3" w14:textId="77777777" w:rsidR="001062EF" w:rsidRPr="00332B8D" w:rsidRDefault="001062EF" w:rsidP="00D76685">
            <w:pPr>
              <w:jc w:val="center"/>
            </w:pPr>
          </w:p>
          <w:p w14:paraId="518FA0E9" w14:textId="77777777" w:rsidR="001062EF" w:rsidRPr="00332B8D" w:rsidRDefault="001062EF" w:rsidP="00D76685">
            <w:pPr>
              <w:jc w:val="center"/>
            </w:pPr>
          </w:p>
          <w:p w14:paraId="04BB6321" w14:textId="77777777" w:rsidR="001062EF" w:rsidRPr="00332B8D" w:rsidRDefault="001062EF" w:rsidP="00D76685">
            <w:pPr>
              <w:jc w:val="center"/>
            </w:pPr>
          </w:p>
          <w:p w14:paraId="7B1234D7" w14:textId="77777777" w:rsidR="001062EF" w:rsidRPr="00332B8D" w:rsidRDefault="001062EF" w:rsidP="00D76685">
            <w:pPr>
              <w:jc w:val="center"/>
            </w:pPr>
          </w:p>
          <w:p w14:paraId="3A3C995D" w14:textId="23D69B58" w:rsidR="001062EF" w:rsidRPr="00332B8D" w:rsidRDefault="001062EF" w:rsidP="00D76685">
            <w:pPr>
              <w:jc w:val="center"/>
            </w:pPr>
          </w:p>
        </w:tc>
        <w:tc>
          <w:tcPr>
            <w:tcW w:w="7087" w:type="dxa"/>
          </w:tcPr>
          <w:p w14:paraId="61C17C58" w14:textId="08E4B983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Realizar os exames autorizados, após conferência da planilha preenchida pela enfermeira do berçário, UTIN ou UI;</w:t>
            </w:r>
          </w:p>
        </w:tc>
      </w:tr>
      <w:tr w:rsidR="000F4663" w:rsidRPr="00D25133" w14:paraId="35ECC452" w14:textId="77777777" w:rsidTr="004D1F14">
        <w:trPr>
          <w:trHeight w:val="1119"/>
        </w:trPr>
        <w:tc>
          <w:tcPr>
            <w:tcW w:w="1980" w:type="dxa"/>
            <w:vMerge/>
          </w:tcPr>
          <w:p w14:paraId="303F3D66" w14:textId="77777777" w:rsidR="000F4663" w:rsidRDefault="000F4663" w:rsidP="001062EF">
            <w:pPr>
              <w:ind w:right="-1"/>
              <w:jc w:val="center"/>
            </w:pPr>
          </w:p>
        </w:tc>
        <w:tc>
          <w:tcPr>
            <w:tcW w:w="7087" w:type="dxa"/>
          </w:tcPr>
          <w:p w14:paraId="33E3071B" w14:textId="77777777" w:rsidR="000F4663" w:rsidRDefault="000F4663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Registrar o laudo via sistema MV;</w:t>
            </w:r>
          </w:p>
          <w:p w14:paraId="27945753" w14:textId="77777777" w:rsidR="000F4663" w:rsidRPr="006F68CD" w:rsidRDefault="000F4663" w:rsidP="001062EF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both"/>
            </w:pPr>
            <w:r w:rsidRPr="006F68CD">
              <w:t xml:space="preserve">Alojamento conjunto: </w:t>
            </w:r>
            <w:proofErr w:type="spellStart"/>
            <w:r w:rsidRPr="006F68CD">
              <w:t>laudar</w:t>
            </w:r>
            <w:proofErr w:type="spellEnd"/>
            <w:r w:rsidRPr="006F68CD">
              <w:t xml:space="preserve"> os exames, entregar ao responsável e anexar uma via do laudo ao prontuário;</w:t>
            </w:r>
          </w:p>
          <w:p w14:paraId="05234A79" w14:textId="00E6CDB1" w:rsidR="000F4663" w:rsidRDefault="000F4663" w:rsidP="001062EF">
            <w:pPr>
              <w:pStyle w:val="PargrafodaLista"/>
              <w:numPr>
                <w:ilvl w:val="0"/>
                <w:numId w:val="43"/>
              </w:numPr>
              <w:spacing w:after="0" w:line="240" w:lineRule="auto"/>
              <w:jc w:val="both"/>
              <w:rPr>
                <w:color w:val="000000"/>
              </w:rPr>
            </w:pPr>
            <w:r w:rsidRPr="006F68CD">
              <w:t>UTIN e UI: anexar o laudo em prontuário;</w:t>
            </w:r>
          </w:p>
        </w:tc>
      </w:tr>
      <w:tr w:rsidR="001062EF" w:rsidRPr="00D25133" w14:paraId="5636765B" w14:textId="77777777" w:rsidTr="00A77FC5">
        <w:trPr>
          <w:trHeight w:val="280"/>
        </w:trPr>
        <w:tc>
          <w:tcPr>
            <w:tcW w:w="1980" w:type="dxa"/>
            <w:vMerge/>
          </w:tcPr>
          <w:p w14:paraId="771EAFA6" w14:textId="77777777" w:rsidR="001062EF" w:rsidRDefault="001062EF" w:rsidP="001062EF">
            <w:pPr>
              <w:ind w:right="-1"/>
              <w:jc w:val="center"/>
            </w:pPr>
          </w:p>
        </w:tc>
        <w:tc>
          <w:tcPr>
            <w:tcW w:w="7087" w:type="dxa"/>
          </w:tcPr>
          <w:p w14:paraId="6F457215" w14:textId="5EA650FF" w:rsidR="001062EF" w:rsidRDefault="001062EF" w:rsidP="001062EF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Higienizar os equipamentos conforme POP.SCIH.015;</w:t>
            </w:r>
          </w:p>
        </w:tc>
      </w:tr>
      <w:tr w:rsidR="000F4663" w:rsidRPr="00D25133" w14:paraId="51B51BB6" w14:textId="77777777" w:rsidTr="00A77FC5">
        <w:trPr>
          <w:trHeight w:val="280"/>
        </w:trPr>
        <w:tc>
          <w:tcPr>
            <w:tcW w:w="1980" w:type="dxa"/>
          </w:tcPr>
          <w:p w14:paraId="766EEDEA" w14:textId="331454DF" w:rsidR="000F4663" w:rsidRDefault="000F4663" w:rsidP="000F4663">
            <w:pPr>
              <w:ind w:right="-1"/>
              <w:jc w:val="center"/>
            </w:pPr>
            <w:r>
              <w:t>Faturamento</w:t>
            </w:r>
          </w:p>
        </w:tc>
        <w:tc>
          <w:tcPr>
            <w:tcW w:w="7087" w:type="dxa"/>
          </w:tcPr>
          <w:p w14:paraId="18AA20B2" w14:textId="5CB2BCCD" w:rsidR="000F4663" w:rsidRDefault="000F4663" w:rsidP="000F4663">
            <w:pPr>
              <w:pStyle w:val="PargrafodaLista"/>
              <w:spacing w:after="0" w:line="240" w:lineRule="auto"/>
              <w:ind w:left="0"/>
              <w:jc w:val="both"/>
              <w:rPr>
                <w:color w:val="000000"/>
              </w:rPr>
            </w:pPr>
            <w:r>
              <w:t>Cobrar no momento da alta, conforme laudo em sistema MV, os casos realizados em caráter particular.</w:t>
            </w:r>
          </w:p>
        </w:tc>
      </w:tr>
      <w:tr w:rsidR="000F4663" w:rsidRPr="00D25133" w14:paraId="1AA543A0" w14:textId="77777777" w:rsidTr="0035792E">
        <w:trPr>
          <w:trHeight w:val="45"/>
        </w:trPr>
        <w:tc>
          <w:tcPr>
            <w:tcW w:w="9067" w:type="dxa"/>
            <w:gridSpan w:val="2"/>
            <w:tcBorders>
              <w:left w:val="nil"/>
              <w:right w:val="nil"/>
            </w:tcBorders>
          </w:tcPr>
          <w:p w14:paraId="630A3BCE" w14:textId="1FECC8EB" w:rsidR="000F4663" w:rsidRDefault="000F4663" w:rsidP="000F4663"/>
        </w:tc>
      </w:tr>
      <w:tr w:rsidR="000F4663" w14:paraId="05BC3367" w14:textId="77777777" w:rsidTr="006F027A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0833CB1" w14:textId="7C55F18F" w:rsidR="000F4663" w:rsidRPr="00C2675C" w:rsidRDefault="000F4663" w:rsidP="000F4663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DEFINIÇÕES E PROTOCOLO CLÍNICO</w:t>
            </w:r>
          </w:p>
        </w:tc>
      </w:tr>
    </w:tbl>
    <w:p w14:paraId="4FB3EC53" w14:textId="226F4ADC" w:rsidR="00B665EB" w:rsidRDefault="00B665EB" w:rsidP="00D15B8B">
      <w:pPr>
        <w:spacing w:after="0" w:line="240" w:lineRule="auto"/>
        <w:contextualSpacing/>
        <w:rPr>
          <w:b/>
          <w:sz w:val="24"/>
          <w:szCs w:val="24"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3778" w:rsidRPr="00BC3778" w14:paraId="36070CDA" w14:textId="77777777" w:rsidTr="00D15B8B">
        <w:trPr>
          <w:trHeight w:val="308"/>
        </w:trPr>
        <w:tc>
          <w:tcPr>
            <w:tcW w:w="9067" w:type="dxa"/>
            <w:shd w:val="clear" w:color="auto" w:fill="D9D9D9" w:themeFill="background1" w:themeFillShade="D9"/>
          </w:tcPr>
          <w:p w14:paraId="46CCB34B" w14:textId="77777777" w:rsidR="00BC3778" w:rsidRPr="00BC3778" w:rsidRDefault="00BC3778" w:rsidP="00D15B8B">
            <w:pPr>
              <w:spacing w:line="259" w:lineRule="auto"/>
              <w:ind w:right="-1"/>
              <w:jc w:val="center"/>
              <w:rPr>
                <w:b/>
              </w:rPr>
            </w:pPr>
            <w:r w:rsidRPr="00BC3778">
              <w:rPr>
                <w:b/>
              </w:rPr>
              <w:t>Por que fazer o teste da orelhinha?</w:t>
            </w:r>
          </w:p>
        </w:tc>
      </w:tr>
    </w:tbl>
    <w:p w14:paraId="4784E169" w14:textId="5280D8FC" w:rsidR="00BC3778" w:rsidRDefault="00F91795" w:rsidP="00BC3778">
      <w:pPr>
        <w:spacing w:after="0" w:line="240" w:lineRule="auto"/>
        <w:ind w:right="-568"/>
        <w:jc w:val="both"/>
      </w:pPr>
      <w:r>
        <w:t xml:space="preserve">          </w:t>
      </w:r>
      <w:r w:rsidR="00BC3778" w:rsidRPr="00BC3778">
        <w:t xml:space="preserve">A perda auditiva tem uma incidência de 3 a 4 casos para cada mil nascidos vivos. Metade dos casos tem causa genética.  </w:t>
      </w:r>
      <w:r w:rsidR="00053113">
        <w:t>No caso de deficiência auditiva permanente, o diagnóstico funcional e a intervenção iniciados antes dos seis meses de vida da criança possibilitam, em geral, melhores resultados para o desenvolvimento da função auditiva, da linguagem, da fala, do processo de aprendizagem e, consequentemente, a inclusão no mercado de trabalho e melhor qualidade de vida.</w:t>
      </w:r>
    </w:p>
    <w:p w14:paraId="0C4F484C" w14:textId="7003F426" w:rsidR="0050273A" w:rsidRPr="00E92DD9" w:rsidRDefault="0050273A" w:rsidP="00EA4246">
      <w:p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  <w:i/>
          <w:iCs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3778" w:rsidRPr="00BC3778" w14:paraId="05D20248" w14:textId="77777777" w:rsidTr="00815674">
        <w:tc>
          <w:tcPr>
            <w:tcW w:w="9067" w:type="dxa"/>
            <w:shd w:val="clear" w:color="auto" w:fill="D9D9D9" w:themeFill="background1" w:themeFillShade="D9"/>
          </w:tcPr>
          <w:p w14:paraId="57CA4550" w14:textId="77777777" w:rsidR="00BC3778" w:rsidRPr="00BC3778" w:rsidRDefault="00BC3778" w:rsidP="00BC3778">
            <w:pPr>
              <w:ind w:right="-1"/>
              <w:jc w:val="center"/>
              <w:rPr>
                <w:b/>
              </w:rPr>
            </w:pPr>
            <w:r w:rsidRPr="00BC3778">
              <w:rPr>
                <w:b/>
              </w:rPr>
              <w:t>O que é o TESTE DA ORELHINHA?</w:t>
            </w:r>
          </w:p>
        </w:tc>
      </w:tr>
    </w:tbl>
    <w:p w14:paraId="64AE2D11" w14:textId="5533FB11" w:rsidR="00BC3778" w:rsidRPr="00BC3778" w:rsidRDefault="00F116AC" w:rsidP="00BC3778">
      <w:pPr>
        <w:spacing w:after="0" w:line="240" w:lineRule="auto"/>
        <w:ind w:right="-568"/>
        <w:jc w:val="both"/>
      </w:pPr>
      <w:r>
        <w:rPr>
          <w:i/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6A10E1C8" wp14:editId="31E38B1A">
            <wp:simplePos x="0" y="0"/>
            <wp:positionH relativeFrom="column">
              <wp:posOffset>15240</wp:posOffset>
            </wp:positionH>
            <wp:positionV relativeFrom="paragraph">
              <wp:posOffset>10795</wp:posOffset>
            </wp:positionV>
            <wp:extent cx="1743075" cy="2336165"/>
            <wp:effectExtent l="0" t="0" r="9525" b="698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95">
        <w:t xml:space="preserve">          </w:t>
      </w:r>
      <w:r w:rsidR="00BC3778" w:rsidRPr="00BC3778">
        <w:t>Trata-se de uma avaliação PRÉ-NEURAL da orelha interna, de forma rápida e não invasiva. Sons registrados no meato acústico externo, evocados por estimulação acústica ou espontâneos.</w:t>
      </w:r>
    </w:p>
    <w:p w14:paraId="0903C5C3" w14:textId="128EC83A" w:rsidR="00BC3778" w:rsidRPr="00BC3778" w:rsidRDefault="00F116AC" w:rsidP="00BC3778">
      <w:pPr>
        <w:spacing w:after="0" w:line="240" w:lineRule="auto"/>
        <w:ind w:right="-568"/>
        <w:jc w:val="both"/>
      </w:pPr>
      <w:r>
        <w:rPr>
          <w:i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585FCB05" wp14:editId="6ABF87FD">
            <wp:simplePos x="0" y="0"/>
            <wp:positionH relativeFrom="column">
              <wp:posOffset>4263390</wp:posOffset>
            </wp:positionH>
            <wp:positionV relativeFrom="paragraph">
              <wp:posOffset>404495</wp:posOffset>
            </wp:positionV>
            <wp:extent cx="1438275" cy="1438275"/>
            <wp:effectExtent l="0" t="0" r="9525" b="9525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795">
        <w:t xml:space="preserve">          </w:t>
      </w:r>
      <w:r w:rsidR="00BC3778" w:rsidRPr="00BC3778">
        <w:t xml:space="preserve">A técnica mais utilizada para triagem neonatal é a da emissão </w:t>
      </w:r>
      <w:proofErr w:type="spellStart"/>
      <w:r w:rsidR="00BC3778" w:rsidRPr="00BC3778">
        <w:t>otoacústica</w:t>
      </w:r>
      <w:proofErr w:type="spellEnd"/>
      <w:r w:rsidR="00BC3778" w:rsidRPr="00BC3778">
        <w:t xml:space="preserve"> evocada TRANSIENTE (estímulos de fraca intensidade, abrangendo uma gama de frequências de 400 a 6.400 Hz) e por finalizar após 1 minuto em cada orelha.</w:t>
      </w:r>
      <w:r w:rsidR="00F91795" w:rsidRPr="00F91795">
        <w:t xml:space="preserve"> </w:t>
      </w:r>
      <w:r w:rsidR="00F91795" w:rsidRPr="00BC3778">
        <w:t xml:space="preserve">O laudo da CSH inclui o reflexo </w:t>
      </w:r>
      <w:proofErr w:type="spellStart"/>
      <w:r w:rsidR="00F91795" w:rsidRPr="00BC3778">
        <w:t>cócleo</w:t>
      </w:r>
      <w:proofErr w:type="spellEnd"/>
      <w:r w:rsidR="00F91795" w:rsidRPr="00BC3778">
        <w:t>-palpebral</w:t>
      </w:r>
      <w:r w:rsidR="00F91795">
        <w:t>.</w:t>
      </w:r>
    </w:p>
    <w:p w14:paraId="70C6827C" w14:textId="24A3FA07" w:rsidR="00BC3778" w:rsidRDefault="00BC3778" w:rsidP="00BC3778">
      <w:pPr>
        <w:spacing w:after="0" w:line="240" w:lineRule="auto"/>
        <w:ind w:right="-568"/>
        <w:jc w:val="both"/>
        <w:rPr>
          <w:i/>
        </w:rPr>
      </w:pPr>
      <w:r w:rsidRPr="00F91795">
        <w:rPr>
          <w:i/>
        </w:rPr>
        <w:t>OBS.: a audição humana vai de 20 Hz (mais grave) até 20.000 Hz (mais agudo)</w:t>
      </w:r>
    </w:p>
    <w:p w14:paraId="51CBF4EB" w14:textId="45A51FD2" w:rsidR="00F116AC" w:rsidRDefault="00F116AC" w:rsidP="00BC3778">
      <w:pPr>
        <w:spacing w:after="0" w:line="240" w:lineRule="auto"/>
        <w:ind w:right="-568"/>
        <w:jc w:val="both"/>
        <w:rPr>
          <w:i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4CB6B1F0" wp14:editId="17D53362">
                <wp:extent cx="304800" cy="304800"/>
                <wp:effectExtent l="0" t="0" r="0" b="0"/>
                <wp:docPr id="6" name="AutoShape 1" descr="blob:https://web.whatsapp.com/2a076793-76e5-4108-9722-f7008907fcc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3DBFB0" id="AutoShape 1" o:spid="_x0000_s1026" alt="blob:https://web.whatsapp.com/2a076793-76e5-4108-9722-f7008907fcc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TxENp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201F43D9" w14:textId="77777777" w:rsidR="00F116AC" w:rsidRDefault="00F116AC" w:rsidP="00BC3778">
      <w:pPr>
        <w:spacing w:after="0" w:line="240" w:lineRule="auto"/>
        <w:ind w:right="-568"/>
        <w:jc w:val="both"/>
        <w:rPr>
          <w:i/>
        </w:rPr>
      </w:pPr>
    </w:p>
    <w:p w14:paraId="217F7CAE" w14:textId="77777777" w:rsidR="00EA4246" w:rsidRPr="00F91795" w:rsidRDefault="00EA4246" w:rsidP="00BC3778">
      <w:pPr>
        <w:spacing w:after="0" w:line="240" w:lineRule="auto"/>
        <w:ind w:right="-568"/>
        <w:jc w:val="both"/>
        <w:rPr>
          <w:i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15B8B" w:rsidRPr="00BC3778" w14:paraId="3C4BCA12" w14:textId="77777777" w:rsidTr="004E0D2C">
        <w:tc>
          <w:tcPr>
            <w:tcW w:w="9067" w:type="dxa"/>
            <w:shd w:val="clear" w:color="auto" w:fill="D9D9D9" w:themeFill="background1" w:themeFillShade="D9"/>
          </w:tcPr>
          <w:p w14:paraId="2D8E0468" w14:textId="40BA6F57" w:rsidR="00D15B8B" w:rsidRPr="00D87710" w:rsidRDefault="00D15B8B" w:rsidP="00D87710">
            <w:pPr>
              <w:ind w:right="-568"/>
              <w:jc w:val="center"/>
            </w:pPr>
            <w:r>
              <w:rPr>
                <w:b/>
              </w:rPr>
              <w:t>Qual o período ideal para realização do teste da orelhinha?</w:t>
            </w:r>
          </w:p>
        </w:tc>
      </w:tr>
    </w:tbl>
    <w:p w14:paraId="48334567" w14:textId="63EBC7E7" w:rsidR="00D15B8B" w:rsidRPr="006035B4" w:rsidRDefault="00D15B8B" w:rsidP="006035B4">
      <w:pPr>
        <w:pStyle w:val="PargrafodaLista"/>
        <w:spacing w:after="0" w:line="240" w:lineRule="auto"/>
        <w:ind w:left="0" w:right="-568"/>
        <w:jc w:val="both"/>
        <w:rPr>
          <w:rFonts w:asciiTheme="minorHAnsi" w:eastAsiaTheme="minorHAnsi" w:hAnsiTheme="minorHAnsi" w:cstheme="minorBidi"/>
        </w:rPr>
      </w:pPr>
      <w:r w:rsidRPr="006035B4">
        <w:rPr>
          <w:rFonts w:asciiTheme="minorHAnsi" w:eastAsiaTheme="minorHAnsi" w:hAnsiTheme="minorHAnsi" w:cstheme="minorBidi"/>
          <w:b/>
        </w:rPr>
        <w:t xml:space="preserve">          </w:t>
      </w:r>
      <w:r w:rsidRPr="006035B4">
        <w:rPr>
          <w:rFonts w:asciiTheme="minorHAnsi" w:eastAsiaTheme="minorHAnsi" w:hAnsiTheme="minorHAnsi" w:cstheme="minorBidi"/>
        </w:rPr>
        <w:t>O teste da orelhinha (EOA) deve ser realizado preferencialmente em um RN estável no berçário nos primeiros três dias após o nascimento, mas se não for possível, poderá realizar</w:t>
      </w:r>
      <w:r w:rsidR="0044654E">
        <w:rPr>
          <w:rFonts w:asciiTheme="minorHAnsi" w:eastAsiaTheme="minorHAnsi" w:hAnsiTheme="minorHAnsi" w:cstheme="minorBidi"/>
        </w:rPr>
        <w:t xml:space="preserve"> ainda internado ou</w:t>
      </w:r>
      <w:r w:rsidRPr="006035B4">
        <w:rPr>
          <w:rFonts w:asciiTheme="minorHAnsi" w:eastAsiaTheme="minorHAnsi" w:hAnsiTheme="minorHAnsi" w:cstheme="minorBidi"/>
        </w:rPr>
        <w:t xml:space="preserve"> </w:t>
      </w:r>
      <w:r w:rsidR="00DB7C3C" w:rsidRPr="006035B4">
        <w:rPr>
          <w:rFonts w:asciiTheme="minorHAnsi" w:eastAsiaTheme="minorHAnsi" w:hAnsiTheme="minorHAnsi" w:cstheme="minorBidi"/>
        </w:rPr>
        <w:t>ambulatoriamente</w:t>
      </w:r>
      <w:r w:rsidRPr="006035B4">
        <w:rPr>
          <w:rFonts w:asciiTheme="minorHAnsi" w:eastAsiaTheme="minorHAnsi" w:hAnsiTheme="minorHAnsi" w:cstheme="minorBidi"/>
        </w:rPr>
        <w:t xml:space="preserve"> </w:t>
      </w:r>
      <w:r w:rsidRPr="006035B4">
        <w:rPr>
          <w:rFonts w:asciiTheme="minorHAnsi" w:eastAsiaTheme="minorHAnsi" w:hAnsiTheme="minorHAnsi" w:cstheme="minorBidi"/>
          <w:color w:val="000000" w:themeColor="text1"/>
          <w:u w:val="single"/>
        </w:rPr>
        <w:t>até 1 mês de idade gestacional corrigida</w:t>
      </w:r>
      <w:r w:rsidRPr="006035B4">
        <w:rPr>
          <w:rFonts w:asciiTheme="minorHAnsi" w:eastAsiaTheme="minorHAnsi" w:hAnsiTheme="minorHAnsi" w:cstheme="minorBidi"/>
        </w:rPr>
        <w:t>.</w:t>
      </w:r>
    </w:p>
    <w:p w14:paraId="4293E889" w14:textId="4BB0B7F2" w:rsidR="00D15B8B" w:rsidRPr="006D5FDA" w:rsidRDefault="00D15B8B" w:rsidP="006035B4">
      <w:pPr>
        <w:spacing w:after="0" w:line="240" w:lineRule="auto"/>
        <w:ind w:right="-568"/>
        <w:jc w:val="both"/>
        <w:rPr>
          <w:color w:val="FF0000"/>
        </w:rPr>
      </w:pPr>
      <w:r w:rsidRPr="006D5FDA">
        <w:rPr>
          <w:color w:val="FF0000"/>
        </w:rPr>
        <w:t xml:space="preserve">          </w:t>
      </w:r>
      <w:r w:rsidRPr="0050273A">
        <w:t>Para os RN graves</w:t>
      </w:r>
      <w:r w:rsidR="009E2C58" w:rsidRPr="0050273A">
        <w:t xml:space="preserve"> e prematuros</w:t>
      </w:r>
      <w:r w:rsidRPr="0050273A">
        <w:t xml:space="preserve">, onde tenha sido indicado </w:t>
      </w:r>
      <w:r w:rsidR="0050273A" w:rsidRPr="0050273A">
        <w:t xml:space="preserve">a realização de um PEATE na </w:t>
      </w:r>
      <w:r w:rsidRPr="0050273A">
        <w:t>UTIN</w:t>
      </w:r>
      <w:r w:rsidR="0050273A" w:rsidRPr="0050273A">
        <w:t xml:space="preserve"> ou UI, onde o PEATE não foi realizado por questões administrativas</w:t>
      </w:r>
      <w:r w:rsidRPr="0050273A">
        <w:t xml:space="preserve"> e onde a realização do</w:t>
      </w:r>
      <w:r w:rsidR="0050273A" w:rsidRPr="0050273A">
        <w:t xml:space="preserve"> TESTE da ORELHINHA</w:t>
      </w:r>
      <w:r w:rsidRPr="0050273A">
        <w:t xml:space="preserve"> exame não poderá ser realizada pelo excesso de barulho e equipamentos (</w:t>
      </w:r>
      <w:r w:rsidR="009E2C58" w:rsidRPr="0050273A">
        <w:t xml:space="preserve">como ventilador mecânico, CPAP, uso de sonda (que pode obstruir a tuba auditiva), </w:t>
      </w:r>
      <w:r w:rsidR="00D56ECC" w:rsidRPr="0050273A">
        <w:t>etc.</w:t>
      </w:r>
      <w:r w:rsidR="009E2C58" w:rsidRPr="0050273A">
        <w:t xml:space="preserve">, </w:t>
      </w:r>
      <w:r w:rsidR="0050273A" w:rsidRPr="0050273A">
        <w:t xml:space="preserve">a realização do teste da orelhinha </w:t>
      </w:r>
      <w:r w:rsidR="009E2C58" w:rsidRPr="0050273A">
        <w:t>deverá ser postergad</w:t>
      </w:r>
      <w:r w:rsidR="0050273A" w:rsidRPr="0050273A">
        <w:t>a</w:t>
      </w:r>
      <w:r w:rsidR="009E2C58" w:rsidRPr="0050273A">
        <w:t xml:space="preserve">, podendo ser realizado </w:t>
      </w:r>
      <w:r w:rsidR="009E2C58" w:rsidRPr="0050273A">
        <w:rPr>
          <w:u w:val="single"/>
        </w:rPr>
        <w:t xml:space="preserve">posteriormente até os 3 meses de idade gestacional corrigida </w:t>
      </w:r>
      <w:r w:rsidR="009E2C58" w:rsidRPr="0050273A">
        <w:t>quando RN estável e preferencialmente sem sonda.</w:t>
      </w:r>
      <w:r w:rsidR="009E2C58" w:rsidRPr="0050273A">
        <w:rPr>
          <w:vertAlign w:val="superscript"/>
        </w:rPr>
        <w:t>1</w:t>
      </w:r>
      <w:r w:rsidR="0050273A" w:rsidRPr="0050273A">
        <w:t xml:space="preserve"> </w:t>
      </w:r>
      <w:r w:rsidR="0050273A" w:rsidRPr="0050273A">
        <w:rPr>
          <w:b/>
          <w:bCs/>
        </w:rPr>
        <w:t>O PEATE não tem este mesmo problema, podendo ser realizado em RN intubado, com CPAP ou sonda.</w:t>
      </w:r>
      <w:r w:rsidR="0050273A" w:rsidRPr="0050273A">
        <w:t xml:space="preserve"> </w:t>
      </w:r>
    </w:p>
    <w:p w14:paraId="38E4C81A" w14:textId="2BA246C6" w:rsidR="0081238D" w:rsidRPr="0050273A" w:rsidRDefault="0081238D" w:rsidP="006035B4">
      <w:pPr>
        <w:spacing w:after="0" w:line="240" w:lineRule="auto"/>
        <w:ind w:right="-568"/>
        <w:jc w:val="both"/>
      </w:pPr>
      <w:r w:rsidRPr="006035B4">
        <w:rPr>
          <w:vertAlign w:val="superscript"/>
        </w:rPr>
        <w:t xml:space="preserve">              </w:t>
      </w:r>
      <w:r w:rsidRPr="0050273A">
        <w:t>Nestes casos onde o RN esteve na UTIN é importante perceber que como se trata de alto risco para perda auditiva, o PEATE sempre estará indicado após alta será o padrão-ouro para avaliação, não sendo indispensável a realização do EOA em casos selecionados.</w:t>
      </w:r>
      <w:r w:rsidR="006D5FDA" w:rsidRPr="0050273A">
        <w:t xml:space="preserve"> </w:t>
      </w:r>
    </w:p>
    <w:p w14:paraId="65779DE8" w14:textId="77777777" w:rsidR="000A5027" w:rsidRDefault="000A5027" w:rsidP="00D15B8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2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A5027" w:rsidRPr="000A5027" w14:paraId="2405DCBB" w14:textId="77777777" w:rsidTr="004E0D2C">
        <w:tc>
          <w:tcPr>
            <w:tcW w:w="9067" w:type="dxa"/>
            <w:shd w:val="clear" w:color="auto" w:fill="D9D9D9" w:themeFill="background1" w:themeFillShade="D9"/>
          </w:tcPr>
          <w:p w14:paraId="3717B84B" w14:textId="49E95452" w:rsidR="000A5027" w:rsidRPr="000A5027" w:rsidRDefault="000A5027" w:rsidP="00D87710">
            <w:pPr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>Quais as contraindicações para realização do exame</w:t>
            </w:r>
            <w:r w:rsidR="0050273A">
              <w:rPr>
                <w:b/>
              </w:rPr>
              <w:t xml:space="preserve"> EOAT (teste da orelhinha)</w:t>
            </w:r>
            <w:r w:rsidRPr="000A5027">
              <w:rPr>
                <w:b/>
              </w:rPr>
              <w:t>?</w:t>
            </w:r>
          </w:p>
        </w:tc>
      </w:tr>
    </w:tbl>
    <w:p w14:paraId="79A318EE" w14:textId="1C3BF251" w:rsidR="000A5027" w:rsidRPr="0050273A" w:rsidRDefault="000A5027" w:rsidP="006035B4">
      <w:pPr>
        <w:spacing w:after="0" w:line="240" w:lineRule="auto"/>
        <w:ind w:right="-568"/>
        <w:jc w:val="both"/>
      </w:pPr>
      <w:r w:rsidRPr="0050273A">
        <w:rPr>
          <w:sz w:val="24"/>
          <w:szCs w:val="24"/>
        </w:rPr>
        <w:t xml:space="preserve">          </w:t>
      </w:r>
      <w:r w:rsidRPr="0050273A">
        <w:t>Devido às especificidades técnicas para realização, exigindo ambiente silencioso e via condutiva sem obstrução,</w:t>
      </w:r>
      <w:r w:rsidR="006035B4" w:rsidRPr="0050273A">
        <w:t xml:space="preserve"> deverá sempre que possível ser evitado no ambiente de UTIN, pois há necessidade de estabilidade e </w:t>
      </w:r>
      <w:r w:rsidRPr="0050273A">
        <w:t>circulação adequada nas vias auditivas, será recomendado adiar o exame:</w:t>
      </w:r>
    </w:p>
    <w:p w14:paraId="2FFFB0E8" w14:textId="51BF9556" w:rsidR="000A5027" w:rsidRPr="0050273A" w:rsidRDefault="000A5027" w:rsidP="000A5027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50273A">
        <w:t>RN em ventilação mecânica e CPAP;</w:t>
      </w:r>
    </w:p>
    <w:p w14:paraId="33DA6A31" w14:textId="01037F17" w:rsidR="000A5027" w:rsidRPr="0050273A" w:rsidRDefault="006035B4" w:rsidP="000A5027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50273A">
        <w:t>RN instável hemodinamicamente (em uso de aminas vasoativas);</w:t>
      </w:r>
    </w:p>
    <w:p w14:paraId="0B8407D3" w14:textId="77777777" w:rsidR="006035B4" w:rsidRPr="0050273A" w:rsidRDefault="006035B4" w:rsidP="006035B4">
      <w:pPr>
        <w:pStyle w:val="PargrafodaLista"/>
        <w:numPr>
          <w:ilvl w:val="0"/>
          <w:numId w:val="40"/>
        </w:numPr>
        <w:spacing w:after="0" w:line="240" w:lineRule="auto"/>
        <w:jc w:val="both"/>
      </w:pPr>
      <w:r w:rsidRPr="0050273A">
        <w:t xml:space="preserve">RN em uso de sonda para alimentação (oro ou </w:t>
      </w:r>
      <w:proofErr w:type="spellStart"/>
      <w:r w:rsidRPr="0050273A">
        <w:t>nasogástrica</w:t>
      </w:r>
      <w:proofErr w:type="spellEnd"/>
      <w:r w:rsidRPr="0050273A">
        <w:t>):</w:t>
      </w:r>
    </w:p>
    <w:p w14:paraId="342A65F4" w14:textId="0A39F4B7" w:rsidR="006035B4" w:rsidRPr="0050273A" w:rsidRDefault="006035B4" w:rsidP="006035B4">
      <w:pPr>
        <w:pStyle w:val="PargrafodaLista"/>
        <w:spacing w:after="0" w:line="240" w:lineRule="auto"/>
        <w:jc w:val="both"/>
        <w:rPr>
          <w:b/>
          <w:i/>
        </w:rPr>
      </w:pPr>
      <w:r w:rsidRPr="0050273A">
        <w:rPr>
          <w:b/>
          <w:i/>
        </w:rPr>
        <w:t>OBS.: nos casos em que o RN estiver em uso de sonda permanente por tempo prolongado, sem previsão de retirada, combinar com a fonoaudióloga previamente e no dia do exame a enfermeira fará a retirada prévia da sonda para permitir realização do exame, sendo repassada logo após</w:t>
      </w:r>
    </w:p>
    <w:p w14:paraId="055436ED" w14:textId="712C2670" w:rsidR="00BC3778" w:rsidRPr="00BC3778" w:rsidRDefault="00BC3778" w:rsidP="00BC3778">
      <w:pPr>
        <w:spacing w:after="0" w:line="240" w:lineRule="auto"/>
        <w:ind w:right="-568"/>
        <w:jc w:val="both"/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3778" w:rsidRPr="00BC3778" w14:paraId="1AFE6AAD" w14:textId="77777777" w:rsidTr="00D15B8B">
        <w:trPr>
          <w:trHeight w:val="164"/>
        </w:trPr>
        <w:tc>
          <w:tcPr>
            <w:tcW w:w="9067" w:type="dxa"/>
            <w:shd w:val="clear" w:color="auto" w:fill="D9D9D9" w:themeFill="background1" w:themeFillShade="D9"/>
          </w:tcPr>
          <w:p w14:paraId="38687933" w14:textId="2816A543" w:rsidR="00BC3778" w:rsidRPr="00BC3778" w:rsidRDefault="00BC3778" w:rsidP="00D15B8B">
            <w:pPr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Qual a sensibilidade e especificidade do teste?</w:t>
            </w:r>
          </w:p>
        </w:tc>
      </w:tr>
    </w:tbl>
    <w:p w14:paraId="45E11B13" w14:textId="1536BF36" w:rsidR="00BC3778" w:rsidRPr="00BC3778" w:rsidRDefault="00F91795" w:rsidP="00E10250">
      <w:pPr>
        <w:ind w:right="-568"/>
        <w:jc w:val="both"/>
      </w:pPr>
      <w:r>
        <w:t xml:space="preserve">         </w:t>
      </w:r>
      <w:r w:rsidR="00BC3778" w:rsidRPr="00BC3778">
        <w:t xml:space="preserve">O registro das Emissões </w:t>
      </w:r>
      <w:proofErr w:type="spellStart"/>
      <w:r w:rsidR="00BC3778" w:rsidRPr="00BC3778">
        <w:t>Otoacústicas</w:t>
      </w:r>
      <w:proofErr w:type="spellEnd"/>
      <w:r w:rsidR="00BC3778" w:rsidRPr="00BC3778">
        <w:t xml:space="preserve"> evocadas por estímulo transiente (EOAT) constitui um procedimento muito sensível na verificação da integridade coclear, uma vez que a resposta desaparece quando existe qualquer anomalia funcional significante nas células ciliadas da cóclea e/ou orelha média.</w:t>
      </w:r>
    </w:p>
    <w:p w14:paraId="1344D05F" w14:textId="1E8BBAC5" w:rsidR="00BC3778" w:rsidRPr="00F91795" w:rsidRDefault="00F91795" w:rsidP="00E10250">
      <w:pPr>
        <w:ind w:right="-568"/>
        <w:jc w:val="both"/>
        <w:rPr>
          <w:rFonts w:ascii="Calibri" w:eastAsia="Calibri" w:hAnsi="Calibri" w:cs="Times New Roman"/>
        </w:rPr>
      </w:pPr>
      <w:r>
        <w:t xml:space="preserve">          </w:t>
      </w:r>
      <w:r w:rsidR="00BC3778" w:rsidRPr="00BC3778">
        <w:t xml:space="preserve">O registro do reflexo </w:t>
      </w:r>
      <w:proofErr w:type="spellStart"/>
      <w:r w:rsidR="00BC3778" w:rsidRPr="00BC3778">
        <w:t>cócleo</w:t>
      </w:r>
      <w:proofErr w:type="spellEnd"/>
      <w:r w:rsidR="00BC3778" w:rsidRPr="00BC3778">
        <w:t>-palpebral (RCP) vem sendo bastante utilizado desde a década de 80, por ser uma resposta comportamental que se apresenta em cerca de 90% a 100% das pessoas auditivamente normais. Desta forma, sua ausência deve ser investigada, pois pode ser decorrente d</w:t>
      </w:r>
      <w:r>
        <w:t>e alteração da audição</w:t>
      </w:r>
      <w:r w:rsidR="00BC3778" w:rsidRPr="00BC3778">
        <w:t xml:space="preserve">. A ausência de RCP com presença de emissões </w:t>
      </w:r>
      <w:proofErr w:type="spellStart"/>
      <w:r w:rsidR="00BC3778" w:rsidRPr="00BC3778">
        <w:t>otoacústicas</w:t>
      </w:r>
      <w:proofErr w:type="spellEnd"/>
      <w:r w:rsidR="00BC3778" w:rsidRPr="00BC3778">
        <w:t xml:space="preserve"> pode ser indício de alteração </w:t>
      </w:r>
      <w:proofErr w:type="spellStart"/>
      <w:r w:rsidR="00BC3778" w:rsidRPr="00BC3778">
        <w:t>retrococlear</w:t>
      </w:r>
      <w:proofErr w:type="spellEnd"/>
      <w:r w:rsidR="00BC3778" w:rsidRPr="00BC3778">
        <w:t>.</w:t>
      </w:r>
      <w:r>
        <w:rPr>
          <w:rFonts w:ascii="Calibri" w:eastAsia="Calibri" w:hAnsi="Calibri" w:cs="Times New Roman"/>
        </w:rPr>
        <w:t xml:space="preserve"> O exame EOA apresenta uma a</w:t>
      </w:r>
      <w:r w:rsidR="00BC3778" w:rsidRPr="00BC3778">
        <w:rPr>
          <w:rFonts w:ascii="Calibri" w:eastAsia="Calibri" w:hAnsi="Calibri" w:cs="Times New Roman"/>
        </w:rPr>
        <w:t>lta sensibilidade (próximo a 100%) com especificidade de 94,6%, com valores preditivos positivo de 10,5% e neg</w:t>
      </w:r>
      <w:r>
        <w:rPr>
          <w:rFonts w:ascii="Calibri" w:eastAsia="Calibri" w:hAnsi="Calibri" w:cs="Times New Roman"/>
        </w:rPr>
        <w:t>ativo de 100%. A acurácia do EOA foi de 94,6%, p</w:t>
      </w:r>
      <w:r w:rsidR="00BC3778" w:rsidRPr="00BC3778">
        <w:rPr>
          <w:rFonts w:ascii="Calibri" w:eastAsia="Calibri" w:hAnsi="Calibri" w:cs="Times New Roman"/>
        </w:rPr>
        <w:t>ara distúrbios</w:t>
      </w:r>
      <w:r>
        <w:rPr>
          <w:rFonts w:ascii="Calibri" w:eastAsia="Calibri" w:hAnsi="Calibri" w:cs="Times New Roman"/>
        </w:rPr>
        <w:t xml:space="preserve"> </w:t>
      </w:r>
      <w:r w:rsidRPr="00F91795">
        <w:rPr>
          <w:rFonts w:ascii="Calibri" w:eastAsia="Calibri" w:hAnsi="Calibri" w:cs="Times New Roman"/>
          <w:u w:val="single"/>
        </w:rPr>
        <w:t>cocleares</w:t>
      </w:r>
      <w:r>
        <w:rPr>
          <w:rFonts w:ascii="Calibri" w:eastAsia="Calibri" w:hAnsi="Calibri" w:cs="Times New Roman"/>
        </w:rPr>
        <w:t xml:space="preserve">. Para perdas </w:t>
      </w:r>
      <w:r w:rsidRPr="00F91795">
        <w:rPr>
          <w:rFonts w:ascii="Calibri" w:eastAsia="Calibri" w:hAnsi="Calibri" w:cs="Times New Roman"/>
          <w:u w:val="single"/>
        </w:rPr>
        <w:t>condutivas</w:t>
      </w:r>
      <w:r>
        <w:rPr>
          <w:rFonts w:ascii="Calibri" w:eastAsia="Calibri" w:hAnsi="Calibri" w:cs="Times New Roman"/>
        </w:rPr>
        <w:t xml:space="preserve"> a s</w:t>
      </w:r>
      <w:r w:rsidRPr="00BC3778">
        <w:rPr>
          <w:rFonts w:ascii="Calibri" w:eastAsia="Calibri" w:hAnsi="Calibri" w:cs="Times New Roman"/>
        </w:rPr>
        <w:t xml:space="preserve">ensibilidade de 77% </w:t>
      </w:r>
      <w:r>
        <w:rPr>
          <w:rFonts w:ascii="Calibri" w:eastAsia="Calibri" w:hAnsi="Calibri" w:cs="Times New Roman"/>
        </w:rPr>
        <w:t>com</w:t>
      </w:r>
      <w:r w:rsidRPr="00BC3778">
        <w:rPr>
          <w:rFonts w:ascii="Calibri" w:eastAsia="Calibri" w:hAnsi="Calibri" w:cs="Times New Roman"/>
        </w:rPr>
        <w:t xml:space="preserve"> 94% de especificidade.</w:t>
      </w:r>
    </w:p>
    <w:p w14:paraId="51FA85E8" w14:textId="7DDF8131" w:rsidR="00BC3778" w:rsidRPr="00BC3778" w:rsidRDefault="00F91795" w:rsidP="00E10250">
      <w:p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Importante ressaltar que o exame não avalia a parte neuro</w:t>
      </w:r>
      <w:r w:rsidR="00626DAD">
        <w:rPr>
          <w:rFonts w:ascii="Calibri" w:eastAsia="Calibri" w:hAnsi="Calibri" w:cs="Times New Roman"/>
        </w:rPr>
        <w:t xml:space="preserve">nal interna (pode acontecer </w:t>
      </w:r>
      <w:proofErr w:type="gramStart"/>
      <w:r w:rsidR="00626DAD">
        <w:rPr>
          <w:rFonts w:ascii="Calibri" w:eastAsia="Calibri" w:hAnsi="Calibri" w:cs="Times New Roman"/>
        </w:rPr>
        <w:t>das</w:t>
      </w:r>
      <w:proofErr w:type="gramEnd"/>
      <w:r w:rsidR="00626DAD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vias cocleares estarem integras, mas o sistema central onde ocorre a integração não estar funcional: </w:t>
      </w:r>
      <w:r w:rsidRPr="00F91795">
        <w:rPr>
          <w:rFonts w:ascii="Calibri" w:eastAsia="Calibri" w:hAnsi="Calibri" w:cs="Times New Roman"/>
          <w:i/>
        </w:rPr>
        <w:t>escuta mas não entende</w:t>
      </w:r>
      <w:r>
        <w:rPr>
          <w:rFonts w:ascii="Calibri" w:eastAsia="Calibri" w:hAnsi="Calibri" w:cs="Times New Roman"/>
        </w:rPr>
        <w:t>).  Para distúrbios centrais a s</w:t>
      </w:r>
      <w:r w:rsidR="00BC3778" w:rsidRPr="00BC3778">
        <w:rPr>
          <w:rFonts w:ascii="Calibri" w:eastAsia="Calibri" w:hAnsi="Calibri" w:cs="Times New Roman"/>
        </w:rPr>
        <w:t xml:space="preserve">ensibilidade </w:t>
      </w:r>
      <w:r>
        <w:rPr>
          <w:rFonts w:ascii="Calibri" w:eastAsia="Calibri" w:hAnsi="Calibri" w:cs="Times New Roman"/>
        </w:rPr>
        <w:t xml:space="preserve">é </w:t>
      </w:r>
      <w:r w:rsidR="00BC3778" w:rsidRPr="00BC3778">
        <w:rPr>
          <w:rFonts w:ascii="Calibri" w:eastAsia="Calibri" w:hAnsi="Calibri" w:cs="Times New Roman"/>
        </w:rPr>
        <w:t xml:space="preserve">de 42% </w:t>
      </w:r>
      <w:r>
        <w:rPr>
          <w:rFonts w:ascii="Calibri" w:eastAsia="Calibri" w:hAnsi="Calibri" w:cs="Times New Roman"/>
        </w:rPr>
        <w:t>apenas, sendo os exames por potencial evocado (PEATE) mais indicados.</w:t>
      </w:r>
    </w:p>
    <w:p w14:paraId="399B4901" w14:textId="645E413D" w:rsidR="00BC3778" w:rsidRDefault="00F91795" w:rsidP="00BC3778">
      <w:p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Desta forma a SENSIBILIDADE GERAL é de </w:t>
      </w:r>
      <w:r w:rsidR="00BC3778" w:rsidRPr="00BC3778">
        <w:rPr>
          <w:rFonts w:ascii="Calibri" w:eastAsia="Calibri" w:hAnsi="Calibri" w:cs="Times New Roman"/>
        </w:rPr>
        <w:t xml:space="preserve">97,6% </w:t>
      </w:r>
      <w:r>
        <w:rPr>
          <w:rFonts w:ascii="Calibri" w:eastAsia="Calibri" w:hAnsi="Calibri" w:cs="Times New Roman"/>
        </w:rPr>
        <w:t>(dos que passam no teste, 97,6%</w:t>
      </w:r>
      <w:r w:rsidRPr="00BC3778">
        <w:rPr>
          <w:rFonts w:ascii="Calibri" w:eastAsia="Calibri" w:hAnsi="Calibri" w:cs="Times New Roman"/>
        </w:rPr>
        <w:t xml:space="preserve"> tem a probabilidade de serem </w:t>
      </w:r>
      <w:proofErr w:type="spellStart"/>
      <w:r w:rsidRPr="00BC3778">
        <w:rPr>
          <w:rFonts w:ascii="Calibri" w:eastAsia="Calibri" w:hAnsi="Calibri" w:cs="Times New Roman"/>
        </w:rPr>
        <w:t>audiologicamente</w:t>
      </w:r>
      <w:proofErr w:type="spellEnd"/>
      <w:r w:rsidRPr="00BC3778">
        <w:rPr>
          <w:rFonts w:ascii="Calibri" w:eastAsia="Calibri" w:hAnsi="Calibri" w:cs="Times New Roman"/>
        </w:rPr>
        <w:t xml:space="preserve"> normais</w:t>
      </w:r>
      <w:r>
        <w:rPr>
          <w:rFonts w:ascii="Calibri" w:eastAsia="Calibri" w:hAnsi="Calibri" w:cs="Times New Roman"/>
        </w:rPr>
        <w:t xml:space="preserve">), porém o </w:t>
      </w:r>
      <w:r w:rsidR="00BC3778" w:rsidRPr="00BC3778">
        <w:rPr>
          <w:rFonts w:ascii="Calibri" w:eastAsia="Calibri" w:hAnsi="Calibri" w:cs="Times New Roman"/>
        </w:rPr>
        <w:t xml:space="preserve">VALOR PREDITIVO POSITIVO É BAIXO: quem NÃO PASSA </w:t>
      </w:r>
      <w:r>
        <w:rPr>
          <w:rFonts w:ascii="Calibri" w:eastAsia="Calibri" w:hAnsi="Calibri" w:cs="Times New Roman"/>
        </w:rPr>
        <w:t xml:space="preserve">no teste </w:t>
      </w:r>
      <w:r w:rsidR="00BC3778" w:rsidRPr="00BC3778">
        <w:rPr>
          <w:rFonts w:ascii="Calibri" w:eastAsia="Calibri" w:hAnsi="Calibri" w:cs="Times New Roman"/>
        </w:rPr>
        <w:t>tem apenas 10% de chance de ter perda auditiva real</w:t>
      </w:r>
      <w:r>
        <w:rPr>
          <w:rFonts w:ascii="Calibri" w:eastAsia="Calibri" w:hAnsi="Calibri" w:cs="Times New Roman"/>
        </w:rPr>
        <w:t xml:space="preserve">, por é tão importante tranquilizar os pais e fazer o </w:t>
      </w:r>
      <w:proofErr w:type="spellStart"/>
      <w:r>
        <w:rPr>
          <w:rFonts w:ascii="Calibri" w:eastAsia="Calibri" w:hAnsi="Calibri" w:cs="Times New Roman"/>
        </w:rPr>
        <w:t>reteste</w:t>
      </w:r>
      <w:proofErr w:type="spellEnd"/>
      <w:r>
        <w:rPr>
          <w:rFonts w:ascii="Calibri" w:eastAsia="Calibri" w:hAnsi="Calibri" w:cs="Times New Roman"/>
        </w:rPr>
        <w:t>.</w:t>
      </w:r>
    </w:p>
    <w:p w14:paraId="0EF9A8F0" w14:textId="77777777" w:rsidR="00D15B8B" w:rsidRDefault="00D15B8B" w:rsidP="00BC3778">
      <w:p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91795" w:rsidRPr="00BC3778" w14:paraId="3E5D052E" w14:textId="77777777" w:rsidTr="004E0D2C">
        <w:tc>
          <w:tcPr>
            <w:tcW w:w="9067" w:type="dxa"/>
            <w:shd w:val="clear" w:color="auto" w:fill="D9D9D9" w:themeFill="background1" w:themeFillShade="D9"/>
          </w:tcPr>
          <w:p w14:paraId="4D9A9543" w14:textId="59C1ADB4" w:rsidR="00F91795" w:rsidRPr="00BC3778" w:rsidRDefault="00F91795" w:rsidP="00D15B8B">
            <w:pPr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Qual as principais causas de falha no exame?</w:t>
            </w:r>
          </w:p>
        </w:tc>
      </w:tr>
    </w:tbl>
    <w:p w14:paraId="08461FC6" w14:textId="77777777" w:rsidR="00F91795" w:rsidRPr="00BC3778" w:rsidRDefault="00F91795" w:rsidP="00BC3778">
      <w:p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</w:p>
    <w:p w14:paraId="40272B29" w14:textId="39BD6F82" w:rsidR="00BC3778" w:rsidRPr="00BC3778" w:rsidRDefault="00BC3778" w:rsidP="00CD34FA">
      <w:pPr>
        <w:numPr>
          <w:ilvl w:val="0"/>
          <w:numId w:val="36"/>
        </w:numPr>
        <w:ind w:right="-568"/>
        <w:contextualSpacing/>
        <w:jc w:val="both"/>
      </w:pPr>
      <w:r w:rsidRPr="00BC3778">
        <w:t>CAUSAS DE FALSO POSITIVO</w:t>
      </w:r>
      <w:r w:rsidR="00F91795">
        <w:t xml:space="preserve"> (não passou no teste, mas não tem perda auditiva real):</w:t>
      </w:r>
    </w:p>
    <w:p w14:paraId="39AFA5AD" w14:textId="77777777" w:rsidR="00BC3778" w:rsidRPr="00BC3778" w:rsidRDefault="00BC3778" w:rsidP="00CD34FA">
      <w:pPr>
        <w:numPr>
          <w:ilvl w:val="1"/>
          <w:numId w:val="36"/>
        </w:numPr>
        <w:ind w:right="-568"/>
        <w:contextualSpacing/>
        <w:jc w:val="both"/>
      </w:pPr>
      <w:r w:rsidRPr="00BC3778">
        <w:t xml:space="preserve">Líquido amniótico, </w:t>
      </w:r>
      <w:proofErr w:type="spellStart"/>
      <w:r w:rsidRPr="00BC3778">
        <w:t>vérnix</w:t>
      </w:r>
      <w:proofErr w:type="spellEnd"/>
      <w:r w:rsidRPr="00BC3778">
        <w:t>, prematuridade (atraso da maturação)</w:t>
      </w:r>
    </w:p>
    <w:p w14:paraId="2273B943" w14:textId="77777777" w:rsidR="00BC3778" w:rsidRPr="00BC3778" w:rsidRDefault="00BC3778" w:rsidP="00CD34FA">
      <w:pPr>
        <w:numPr>
          <w:ilvl w:val="1"/>
          <w:numId w:val="36"/>
        </w:numPr>
        <w:ind w:right="-568"/>
        <w:contextualSpacing/>
        <w:jc w:val="both"/>
      </w:pPr>
      <w:r w:rsidRPr="00BC3778">
        <w:t xml:space="preserve">Cerca de 15% dos RN testados vem como alterado e precisam </w:t>
      </w:r>
      <w:proofErr w:type="spellStart"/>
      <w:r w:rsidRPr="00BC3778">
        <w:t>reteste</w:t>
      </w:r>
      <w:proofErr w:type="spellEnd"/>
      <w:r w:rsidRPr="00BC3778">
        <w:t xml:space="preserve"> (38% condutiva, 7% coclear, 24% central, 3,5% espectro de neuropatia auditiva)</w:t>
      </w:r>
    </w:p>
    <w:p w14:paraId="4C9709E5" w14:textId="7ED370C5" w:rsidR="00BC3778" w:rsidRPr="00BC3778" w:rsidRDefault="00BC3778" w:rsidP="00CD34FA">
      <w:pPr>
        <w:numPr>
          <w:ilvl w:val="0"/>
          <w:numId w:val="36"/>
        </w:numPr>
        <w:ind w:right="-568"/>
        <w:contextualSpacing/>
        <w:jc w:val="both"/>
      </w:pPr>
      <w:r w:rsidRPr="00BC3778">
        <w:t>CAUSAS DE FALSO NEGATIVO</w:t>
      </w:r>
      <w:r w:rsidR="00F91795">
        <w:t xml:space="preserve"> (passou no teste, mas depois é identificado uma perda auditiva real):</w:t>
      </w:r>
    </w:p>
    <w:p w14:paraId="596365C4" w14:textId="77777777" w:rsidR="00BC3778" w:rsidRPr="00BC3778" w:rsidRDefault="00BC3778" w:rsidP="00CD34FA">
      <w:pPr>
        <w:numPr>
          <w:ilvl w:val="1"/>
          <w:numId w:val="36"/>
        </w:numPr>
        <w:ind w:right="-568"/>
        <w:contextualSpacing/>
        <w:jc w:val="both"/>
      </w:pPr>
      <w:r w:rsidRPr="00BC3778">
        <w:t>Sensibilidade baixa para perdas centrais (50%) e condutivas (75%)</w:t>
      </w:r>
    </w:p>
    <w:p w14:paraId="5543E64B" w14:textId="45EB475E" w:rsidR="00BC3778" w:rsidRDefault="00BC3778" w:rsidP="00CD34FA">
      <w:pPr>
        <w:numPr>
          <w:ilvl w:val="1"/>
          <w:numId w:val="36"/>
        </w:numPr>
        <w:ind w:right="-568"/>
        <w:contextualSpacing/>
        <w:jc w:val="both"/>
      </w:pPr>
      <w:r w:rsidRPr="00BC3778">
        <w:t>Perda auditiva posterior por processo infeccioso, etc.</w:t>
      </w:r>
    </w:p>
    <w:p w14:paraId="6E1DCE3E" w14:textId="2036340B" w:rsidR="0069584B" w:rsidRDefault="0069584B" w:rsidP="00CD34FA">
      <w:pPr>
        <w:ind w:left="1068" w:right="-568"/>
        <w:contextualSpacing/>
        <w:jc w:val="both"/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9584B" w:rsidRPr="00BC3778" w14:paraId="49064C46" w14:textId="77777777" w:rsidTr="004E0D2C">
        <w:tc>
          <w:tcPr>
            <w:tcW w:w="9067" w:type="dxa"/>
            <w:shd w:val="clear" w:color="auto" w:fill="D9D9D9" w:themeFill="background1" w:themeFillShade="D9"/>
          </w:tcPr>
          <w:p w14:paraId="36E6A2F4" w14:textId="6E3CD972" w:rsidR="0069584B" w:rsidRPr="00BC3778" w:rsidRDefault="0069584B" w:rsidP="00D15B8B">
            <w:pPr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Qual a diferença entre teste da orelhinha (EOA) do PEATE (potencial evocado acústico em tronco encefálico)?</w:t>
            </w:r>
          </w:p>
        </w:tc>
      </w:tr>
    </w:tbl>
    <w:p w14:paraId="28E6C023" w14:textId="68769D5B" w:rsidR="00BC3778" w:rsidRDefault="00D15B8B" w:rsidP="0050273A">
      <w:pPr>
        <w:ind w:right="-567"/>
        <w:contextualSpacing/>
        <w:jc w:val="both"/>
      </w:pPr>
      <w:r>
        <w:t xml:space="preserve">          </w:t>
      </w:r>
      <w:bookmarkStart w:id="0" w:name="_Hlk150504654"/>
      <w:bookmarkStart w:id="1" w:name="_Hlk150505805"/>
      <w:r w:rsidR="0015214D">
        <w:t xml:space="preserve">Enquanto do teste da orelhinha (EOA) avalia apenas a integridade da via auditiva PRÉ-NEURAL, </w:t>
      </w:r>
      <w:proofErr w:type="gramStart"/>
      <w:r w:rsidR="0015214D">
        <w:t xml:space="preserve">o </w:t>
      </w:r>
      <w:r w:rsidRPr="00D15B8B">
        <w:t xml:space="preserve"> PEATE</w:t>
      </w:r>
      <w:proofErr w:type="gramEnd"/>
      <w:r w:rsidRPr="00D15B8B">
        <w:t xml:space="preserve"> (potencial evocado acústico em tronco encefálico), também conhecido como </w:t>
      </w:r>
      <w:r w:rsidRPr="0017357D">
        <w:t>BERA (</w:t>
      </w:r>
      <w:r w:rsidRPr="0017357D">
        <w:rPr>
          <w:rFonts w:cstheme="minorHAnsi"/>
          <w:color w:val="000000" w:themeColor="text1"/>
        </w:rPr>
        <w:t xml:space="preserve">do inglês: </w:t>
      </w:r>
      <w:proofErr w:type="spellStart"/>
      <w:r w:rsidRPr="0017357D">
        <w:rPr>
          <w:rFonts w:cstheme="minorHAnsi"/>
          <w:color w:val="000000" w:themeColor="text1"/>
          <w:shd w:val="clear" w:color="auto" w:fill="FFFFFF"/>
        </w:rPr>
        <w:t>Brainstem</w:t>
      </w:r>
      <w:proofErr w:type="spellEnd"/>
      <w:r w:rsidRPr="0017357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Pr="0017357D">
        <w:rPr>
          <w:rFonts w:cstheme="minorHAnsi"/>
          <w:color w:val="000000" w:themeColor="text1"/>
          <w:shd w:val="clear" w:color="auto" w:fill="FFFFFF"/>
        </w:rPr>
        <w:t>Evoked</w:t>
      </w:r>
      <w:proofErr w:type="spellEnd"/>
      <w:r w:rsidRPr="0017357D">
        <w:rPr>
          <w:rFonts w:cstheme="minorHAnsi"/>
          <w:color w:val="000000" w:themeColor="text1"/>
          <w:shd w:val="clear" w:color="auto" w:fill="FFFFFF"/>
        </w:rPr>
        <w:t xml:space="preserve"> Response </w:t>
      </w:r>
      <w:proofErr w:type="spellStart"/>
      <w:r w:rsidRPr="0017357D">
        <w:rPr>
          <w:rFonts w:cstheme="minorHAnsi"/>
          <w:color w:val="000000" w:themeColor="text1"/>
          <w:shd w:val="clear" w:color="auto" w:fill="FFFFFF"/>
        </w:rPr>
        <w:t>Audiometry</w:t>
      </w:r>
      <w:proofErr w:type="spellEnd"/>
      <w:r w:rsidRPr="0017357D">
        <w:rPr>
          <w:rFonts w:cstheme="minorHAnsi"/>
          <w:color w:val="000000" w:themeColor="text1"/>
          <w:shd w:val="clear" w:color="auto" w:fill="FFFFFF"/>
        </w:rPr>
        <w:t>)</w:t>
      </w:r>
      <w:r>
        <w:t xml:space="preserve"> é considerado o padrão-ouro para avaliação da audição</w:t>
      </w:r>
      <w:r w:rsidR="0015214D">
        <w:t xml:space="preserve">, pois </w:t>
      </w:r>
      <w:r w:rsidR="0015214D" w:rsidRPr="0015214D">
        <w:t>avalia todo o percurso do som, desde que entra no ouvido até o tronco encefálico, através do registro da atividade elétrica que ocorre neste trajeto. Assim, ele analisa a integridade das vias auditivas nervosas responsáveis pela condução das informações sonoras at</w:t>
      </w:r>
      <w:r w:rsidR="0015214D">
        <w:t>é</w:t>
      </w:r>
      <w:r w:rsidR="0015214D" w:rsidRPr="0015214D">
        <w:t xml:space="preserve"> o cérebro.</w:t>
      </w:r>
    </w:p>
    <w:p w14:paraId="7E3CA50E" w14:textId="493F578E" w:rsidR="00244B0C" w:rsidRPr="0015214D" w:rsidRDefault="00D15B8B" w:rsidP="0050273A">
      <w:pPr>
        <w:ind w:right="-567"/>
        <w:contextualSpacing/>
        <w:jc w:val="both"/>
      </w:pPr>
      <w:r w:rsidRPr="0015214D">
        <w:t xml:space="preserve">           </w:t>
      </w:r>
      <w:r w:rsidR="0015214D">
        <w:t>Diante da maior capacidade de avaliar a via NEURAL (</w:t>
      </w:r>
      <w:proofErr w:type="spellStart"/>
      <w:r w:rsidR="0015214D">
        <w:t>neurossensorial</w:t>
      </w:r>
      <w:proofErr w:type="spellEnd"/>
      <w:r w:rsidR="0015214D">
        <w:t>) que é a mais acometida diante de estresse relacionado aos RN de alto risco, e</w:t>
      </w:r>
      <w:r w:rsidRPr="0015214D">
        <w:t>stará indicado para todo RN com alto risco de perda auditiva</w:t>
      </w:r>
      <w:r w:rsidR="0050273A" w:rsidRPr="0015214D">
        <w:t xml:space="preserve"> relatados na primeira pergunta deste protocolo.</w:t>
      </w:r>
      <w:r w:rsidRPr="0015214D">
        <w:t xml:space="preserve"> Existem também várias indicações técnicas conforme o resultado dos exames EOA que podem indicar o PEATE, mesmo em recém-nascidos de baixo risco (ex.: presença de onda V a 30 </w:t>
      </w:r>
      <w:proofErr w:type="spellStart"/>
      <w:r w:rsidRPr="0015214D">
        <w:t>dBNAn</w:t>
      </w:r>
      <w:proofErr w:type="spellEnd"/>
      <w:r w:rsidRPr="0015214D">
        <w:t xml:space="preserve">, </w:t>
      </w:r>
      <w:r w:rsidR="0015214D" w:rsidRPr="0015214D">
        <w:t xml:space="preserve">falha no segundo teste da orelhinha, </w:t>
      </w:r>
      <w:r w:rsidRPr="0015214D">
        <w:t>etc</w:t>
      </w:r>
      <w:r w:rsidR="00D87497" w:rsidRPr="0015214D">
        <w:t>.).</w:t>
      </w:r>
    </w:p>
    <w:bookmarkEnd w:id="0"/>
    <w:p w14:paraId="343E0CC7" w14:textId="3A8DC305" w:rsidR="00C62162" w:rsidRDefault="006035B4" w:rsidP="0050273A">
      <w:pPr>
        <w:ind w:right="-567"/>
        <w:contextualSpacing/>
        <w:jc w:val="both"/>
        <w:rPr>
          <w:i/>
        </w:rPr>
      </w:pPr>
      <w:r w:rsidRPr="0015214D">
        <w:rPr>
          <w:i/>
        </w:rPr>
        <w:t xml:space="preserve">           Diante da importância do PEATE como padrão-ouro para avalição, diante de recém-nascidos de alto risco, ao completar três meses de idade gestacional corrigida</w:t>
      </w:r>
      <w:r w:rsidR="0015214D" w:rsidRPr="0015214D">
        <w:rPr>
          <w:i/>
        </w:rPr>
        <w:t xml:space="preserve"> e caso não tenha realizado o PEATE no internamento por questões </w:t>
      </w:r>
      <w:proofErr w:type="spellStart"/>
      <w:r w:rsidR="0015214D" w:rsidRPr="0015214D">
        <w:rPr>
          <w:i/>
        </w:rPr>
        <w:t>administravo</w:t>
      </w:r>
      <w:proofErr w:type="spellEnd"/>
      <w:r w:rsidR="0015214D" w:rsidRPr="0015214D">
        <w:rPr>
          <w:i/>
        </w:rPr>
        <w:t xml:space="preserve">-financeiras, insistir com a família sobre a importância e caso não seja possível,  sendo </w:t>
      </w:r>
      <w:r w:rsidRPr="0015214D">
        <w:rPr>
          <w:i/>
        </w:rPr>
        <w:t xml:space="preserve">a previsão de alta não for iminente, solicitar sempre que possível a realização do PEATE </w:t>
      </w:r>
      <w:r w:rsidR="0015214D" w:rsidRPr="0015214D">
        <w:rPr>
          <w:i/>
        </w:rPr>
        <w:t>após alta no ambulatório</w:t>
      </w:r>
      <w:r w:rsidRPr="0015214D">
        <w:rPr>
          <w:i/>
        </w:rPr>
        <w:t xml:space="preserve"> para permitir o seguimento adequado e tratamento precoce nos casos onde se identificar deficiência auditiva. </w:t>
      </w:r>
    </w:p>
    <w:p w14:paraId="2EFF94F7" w14:textId="77777777" w:rsidR="00EA4246" w:rsidRDefault="00EA4246" w:rsidP="0050273A">
      <w:pPr>
        <w:ind w:right="-567"/>
        <w:contextualSpacing/>
        <w:jc w:val="both"/>
        <w:rPr>
          <w:i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A4246" w:rsidRPr="00BC3778" w14:paraId="02918DDB" w14:textId="77777777" w:rsidTr="001941A1">
        <w:tc>
          <w:tcPr>
            <w:tcW w:w="9067" w:type="dxa"/>
            <w:shd w:val="clear" w:color="auto" w:fill="D9D9D9" w:themeFill="background1" w:themeFillShade="D9"/>
          </w:tcPr>
          <w:p w14:paraId="07D146B0" w14:textId="689345B1" w:rsidR="00EA4246" w:rsidRPr="00BC3778" w:rsidRDefault="00EA4246" w:rsidP="001941A1">
            <w:pPr>
              <w:spacing w:line="259" w:lineRule="auto"/>
              <w:ind w:right="-1"/>
              <w:jc w:val="center"/>
              <w:rPr>
                <w:b/>
              </w:rPr>
            </w:pPr>
            <w:r w:rsidRPr="00BC3778">
              <w:rPr>
                <w:b/>
              </w:rPr>
              <w:t xml:space="preserve">Quais os bebês </w:t>
            </w:r>
            <w:r>
              <w:rPr>
                <w:b/>
              </w:rPr>
              <w:t xml:space="preserve">serão considerados de ALTO RISCO </w:t>
            </w:r>
            <w:r w:rsidRPr="00BC3778">
              <w:rPr>
                <w:b/>
              </w:rPr>
              <w:t>para perda auditiva</w:t>
            </w:r>
            <w:r>
              <w:rPr>
                <w:b/>
              </w:rPr>
              <w:t xml:space="preserve"> e DEVERÃO TER COMO TRIAGEM adicional O PEATE, além do TESTE DA ORELHINHA</w:t>
            </w:r>
            <w:r w:rsidRPr="00BC3778">
              <w:rPr>
                <w:b/>
              </w:rPr>
              <w:t>?</w:t>
            </w:r>
          </w:p>
        </w:tc>
      </w:tr>
    </w:tbl>
    <w:p w14:paraId="24FBBBB7" w14:textId="13A9031C" w:rsidR="00EA4246" w:rsidRPr="00BC3778" w:rsidRDefault="00EA4246" w:rsidP="00EA4246">
      <w:pPr>
        <w:spacing w:after="0" w:line="240" w:lineRule="auto"/>
        <w:ind w:right="-568" w:firstLine="708"/>
        <w:jc w:val="both"/>
      </w:pPr>
      <w:bookmarkStart w:id="2" w:name="_Hlk150504131"/>
      <w:r>
        <w:t xml:space="preserve">Os RN considerados de alto risco, devem ter adicionados à sua triagem inicial prevista em lei (que é o teste da orelhinha) mais um exame que é o PEATE-A </w:t>
      </w:r>
      <w:r w:rsidRPr="00EA4246">
        <w:t>(potencial evocado acústico em tronco encefálico</w:t>
      </w:r>
      <w:r>
        <w:t xml:space="preserve"> - automatizado</w:t>
      </w:r>
      <w:proofErr w:type="gramStart"/>
      <w:r w:rsidRPr="00EA4246">
        <w:t xml:space="preserve">), </w:t>
      </w:r>
      <w:r>
        <w:t xml:space="preserve"> conforme</w:t>
      </w:r>
      <w:proofErr w:type="gramEnd"/>
      <w:r>
        <w:t xml:space="preserve"> recomendações nacionais e internacionais e não pelo teste da orelhinha. O exame poderá ser feito preferencialmente no primeiro mês de vida, conforme protocolo específico. São considerados RN de alto risco aqueles que:</w:t>
      </w:r>
    </w:p>
    <w:p w14:paraId="685D14F3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permaneceram</w:t>
      </w:r>
      <w:proofErr w:type="gramEnd"/>
      <w:r w:rsidRPr="00BC3778">
        <w:rPr>
          <w:rFonts w:ascii="Calibri" w:eastAsia="Calibri" w:hAnsi="Calibri" w:cs="Times New Roman"/>
        </w:rPr>
        <w:t xml:space="preserve"> por mais de 5 dias em UTI neonatal;</w:t>
      </w:r>
    </w:p>
    <w:p w14:paraId="55F9AB55" w14:textId="77777777" w:rsidR="00EA4246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os</w:t>
      </w:r>
      <w:proofErr w:type="gramEnd"/>
      <w:r w:rsidRPr="00BC3778">
        <w:rPr>
          <w:rFonts w:ascii="Calibri" w:eastAsia="Calibri" w:hAnsi="Calibri" w:cs="Times New Roman"/>
        </w:rPr>
        <w:t xml:space="preserve"> </w:t>
      </w:r>
      <w:proofErr w:type="spellStart"/>
      <w:r w:rsidRPr="00BC3778">
        <w:rPr>
          <w:rFonts w:ascii="Calibri" w:eastAsia="Calibri" w:hAnsi="Calibri" w:cs="Times New Roman"/>
        </w:rPr>
        <w:t>RNs</w:t>
      </w:r>
      <w:proofErr w:type="spellEnd"/>
      <w:r w:rsidRPr="00BC3778">
        <w:rPr>
          <w:rFonts w:ascii="Calibri" w:eastAsia="Calibri" w:hAnsi="Calibri" w:cs="Times New Roman"/>
        </w:rPr>
        <w:t xml:space="preserve"> com histórico familiar de</w:t>
      </w:r>
      <w:r>
        <w:rPr>
          <w:rFonts w:ascii="Calibri" w:eastAsia="Calibri" w:hAnsi="Calibri" w:cs="Times New Roman"/>
        </w:rPr>
        <w:t xml:space="preserve"> deficiência auditiva congênita;</w:t>
      </w:r>
    </w:p>
    <w:p w14:paraId="662EBBC9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pais</w:t>
      </w:r>
      <w:proofErr w:type="gramEnd"/>
      <w:r>
        <w:rPr>
          <w:rFonts w:ascii="Calibri" w:eastAsia="Calibri" w:hAnsi="Calibri" w:cs="Times New Roman"/>
        </w:rPr>
        <w:t xml:space="preserve"> consanguíneos;</w:t>
      </w:r>
    </w:p>
    <w:p w14:paraId="29E6FB0B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infecções</w:t>
      </w:r>
      <w:proofErr w:type="gramEnd"/>
      <w:r w:rsidRPr="00BC3778">
        <w:rPr>
          <w:rFonts w:ascii="Calibri" w:eastAsia="Calibri" w:hAnsi="Calibri" w:cs="Times New Roman"/>
        </w:rPr>
        <w:t xml:space="preserve"> congênitas tais como Sífilis, Toxoplasmose, Rubéola, </w:t>
      </w:r>
      <w:proofErr w:type="spellStart"/>
      <w:r w:rsidRPr="00BC3778">
        <w:rPr>
          <w:rFonts w:ascii="Calibri" w:eastAsia="Calibri" w:hAnsi="Calibri" w:cs="Times New Roman"/>
        </w:rPr>
        <w:t>Citomegalovirus</w:t>
      </w:r>
      <w:proofErr w:type="spellEnd"/>
      <w:r w:rsidRPr="00BC3778">
        <w:rPr>
          <w:rFonts w:ascii="Calibri" w:eastAsia="Calibri" w:hAnsi="Calibri" w:cs="Times New Roman"/>
        </w:rPr>
        <w:t xml:space="preserve">, Herpes e infecção por HIV; </w:t>
      </w:r>
    </w:p>
    <w:p w14:paraId="1D39937D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anomalias</w:t>
      </w:r>
      <w:proofErr w:type="gramEnd"/>
      <w:r w:rsidRPr="00BC3778">
        <w:rPr>
          <w:rFonts w:ascii="Calibri" w:eastAsia="Calibri" w:hAnsi="Calibri" w:cs="Times New Roman"/>
        </w:rPr>
        <w:t xml:space="preserve"> </w:t>
      </w:r>
      <w:proofErr w:type="spellStart"/>
      <w:r w:rsidRPr="00BC3778">
        <w:rPr>
          <w:rFonts w:ascii="Calibri" w:eastAsia="Calibri" w:hAnsi="Calibri" w:cs="Times New Roman"/>
        </w:rPr>
        <w:t>crânio-faciais</w:t>
      </w:r>
      <w:proofErr w:type="spellEnd"/>
      <w:r w:rsidRPr="00BC3778">
        <w:rPr>
          <w:rFonts w:ascii="Calibri" w:eastAsia="Calibri" w:hAnsi="Calibri" w:cs="Times New Roman"/>
        </w:rPr>
        <w:t>, incluindo de pavilhão auricular e meato acústico externo;</w:t>
      </w:r>
    </w:p>
    <w:p w14:paraId="44DBE89E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BC3778">
        <w:rPr>
          <w:rFonts w:ascii="Calibri" w:eastAsia="Calibri" w:hAnsi="Calibri" w:cs="Times New Roman"/>
        </w:rPr>
        <w:t>hiperbilirrubinemia</w:t>
      </w:r>
      <w:proofErr w:type="spellEnd"/>
      <w:proofErr w:type="gramEnd"/>
      <w:r w:rsidRPr="00BC3778">
        <w:rPr>
          <w:rFonts w:ascii="Calibri" w:eastAsia="Calibri" w:hAnsi="Calibri" w:cs="Times New Roman"/>
        </w:rPr>
        <w:t xml:space="preserve"> no nível de </w:t>
      </w:r>
      <w:proofErr w:type="spellStart"/>
      <w:r w:rsidRPr="00BC3778">
        <w:rPr>
          <w:rFonts w:ascii="Calibri" w:eastAsia="Calibri" w:hAnsi="Calibri" w:cs="Times New Roman"/>
        </w:rPr>
        <w:t>exsangüíneo</w:t>
      </w:r>
      <w:proofErr w:type="spellEnd"/>
      <w:r w:rsidRPr="00BC3778">
        <w:rPr>
          <w:rFonts w:ascii="Calibri" w:eastAsia="Calibri" w:hAnsi="Calibri" w:cs="Times New Roman"/>
        </w:rPr>
        <w:t xml:space="preserve"> transfusão; </w:t>
      </w:r>
    </w:p>
    <w:p w14:paraId="4377D6CE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uso</w:t>
      </w:r>
      <w:proofErr w:type="gramEnd"/>
      <w:r w:rsidRPr="00BC3778">
        <w:rPr>
          <w:rFonts w:ascii="Calibri" w:eastAsia="Calibri" w:hAnsi="Calibri" w:cs="Times New Roman"/>
        </w:rPr>
        <w:t xml:space="preserve"> de </w:t>
      </w:r>
      <w:proofErr w:type="spellStart"/>
      <w:r w:rsidRPr="00BC3778">
        <w:rPr>
          <w:rFonts w:ascii="Calibri" w:eastAsia="Calibri" w:hAnsi="Calibri" w:cs="Times New Roman"/>
        </w:rPr>
        <w:t>ototóxicos</w:t>
      </w:r>
      <w:proofErr w:type="spellEnd"/>
      <w:r>
        <w:rPr>
          <w:rFonts w:ascii="Calibri" w:eastAsia="Calibri" w:hAnsi="Calibri" w:cs="Times New Roman"/>
        </w:rPr>
        <w:t xml:space="preserve"> (antibióticos como </w:t>
      </w:r>
      <w:proofErr w:type="spellStart"/>
      <w:r>
        <w:rPr>
          <w:rFonts w:ascii="Calibri" w:eastAsia="Calibri" w:hAnsi="Calibri" w:cs="Times New Roman"/>
        </w:rPr>
        <w:t>aminoglicosídeos</w:t>
      </w:r>
      <w:proofErr w:type="spellEnd"/>
      <w:r>
        <w:rPr>
          <w:rFonts w:ascii="Calibri" w:eastAsia="Calibri" w:hAnsi="Calibri" w:cs="Times New Roman"/>
        </w:rPr>
        <w:t xml:space="preserve">, vancomicina, furosemida, </w:t>
      </w:r>
      <w:proofErr w:type="spellStart"/>
      <w:r>
        <w:rPr>
          <w:rFonts w:ascii="Calibri" w:eastAsia="Calibri" w:hAnsi="Calibri" w:cs="Times New Roman"/>
        </w:rPr>
        <w:t>etc</w:t>
      </w:r>
      <w:proofErr w:type="spellEnd"/>
      <w:r>
        <w:rPr>
          <w:rFonts w:ascii="Calibri" w:eastAsia="Calibri" w:hAnsi="Calibri" w:cs="Times New Roman"/>
        </w:rPr>
        <w:t>)</w:t>
      </w:r>
    </w:p>
    <w:p w14:paraId="67787BC5" w14:textId="77777777" w:rsidR="00EA4246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meningite</w:t>
      </w:r>
      <w:proofErr w:type="gramEnd"/>
      <w:r w:rsidRPr="00BC3778">
        <w:rPr>
          <w:rFonts w:ascii="Calibri" w:eastAsia="Calibri" w:hAnsi="Calibri" w:cs="Times New Roman"/>
        </w:rPr>
        <w:t xml:space="preserve"> bacteriana ou viral; </w:t>
      </w:r>
    </w:p>
    <w:p w14:paraId="143113BA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infecções</w:t>
      </w:r>
      <w:proofErr w:type="gramEnd"/>
      <w:r>
        <w:rPr>
          <w:rFonts w:ascii="Calibri" w:eastAsia="Calibri" w:hAnsi="Calibri" w:cs="Times New Roman"/>
        </w:rPr>
        <w:t xml:space="preserve"> pós-neonatais que aumentem o risco: CMV, herpes, sarampo, varicela;</w:t>
      </w:r>
    </w:p>
    <w:p w14:paraId="39CE9446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asfixia</w:t>
      </w:r>
      <w:proofErr w:type="gramEnd"/>
      <w:r w:rsidRPr="00BC3778">
        <w:rPr>
          <w:rFonts w:ascii="Calibri" w:eastAsia="Calibri" w:hAnsi="Calibri" w:cs="Times New Roman"/>
        </w:rPr>
        <w:t xml:space="preserve"> neonatal</w:t>
      </w:r>
      <w:r>
        <w:rPr>
          <w:rFonts w:ascii="Calibri" w:eastAsia="Calibri" w:hAnsi="Calibri" w:cs="Times New Roman"/>
        </w:rPr>
        <w:t xml:space="preserve"> (</w:t>
      </w:r>
      <w:proofErr w:type="spellStart"/>
      <w:r>
        <w:rPr>
          <w:rFonts w:ascii="Calibri" w:eastAsia="Calibri" w:hAnsi="Calibri" w:cs="Times New Roman"/>
        </w:rPr>
        <w:t>Apgar</w:t>
      </w:r>
      <w:proofErr w:type="spellEnd"/>
      <w:r>
        <w:rPr>
          <w:rFonts w:ascii="Calibri" w:eastAsia="Calibri" w:hAnsi="Calibri" w:cs="Times New Roman"/>
        </w:rPr>
        <w:t xml:space="preserve"> &lt; 5 no primeiro minuto ou &lt; 7 no quinto minuto)</w:t>
      </w:r>
      <w:r w:rsidRPr="00BC3778">
        <w:rPr>
          <w:rFonts w:ascii="Calibri" w:eastAsia="Calibri" w:hAnsi="Calibri" w:cs="Times New Roman"/>
        </w:rPr>
        <w:t xml:space="preserve">; </w:t>
      </w:r>
    </w:p>
    <w:p w14:paraId="451B02C4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ventilação</w:t>
      </w:r>
      <w:proofErr w:type="gramEnd"/>
      <w:r w:rsidRPr="00BC3778">
        <w:rPr>
          <w:rFonts w:ascii="Calibri" w:eastAsia="Calibri" w:hAnsi="Calibri" w:cs="Times New Roman"/>
        </w:rPr>
        <w:t xml:space="preserve"> mecâ</w:t>
      </w:r>
      <w:r>
        <w:rPr>
          <w:rFonts w:ascii="Calibri" w:eastAsia="Calibri" w:hAnsi="Calibri" w:cs="Times New Roman"/>
        </w:rPr>
        <w:t>nica;</w:t>
      </w:r>
      <w:r w:rsidRPr="00BC3778">
        <w:rPr>
          <w:rFonts w:ascii="Calibri" w:eastAsia="Calibri" w:hAnsi="Calibri" w:cs="Times New Roman"/>
        </w:rPr>
        <w:t xml:space="preserve"> </w:t>
      </w:r>
    </w:p>
    <w:p w14:paraId="38460207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alcoolismo</w:t>
      </w:r>
      <w:proofErr w:type="gramEnd"/>
      <w:r w:rsidRPr="00BC3778">
        <w:rPr>
          <w:rFonts w:ascii="Calibri" w:eastAsia="Calibri" w:hAnsi="Calibri" w:cs="Times New Roman"/>
        </w:rPr>
        <w:t xml:space="preserve"> materno e/ou uso de drogas; </w:t>
      </w:r>
    </w:p>
    <w:p w14:paraId="70C8A4CD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convulsões</w:t>
      </w:r>
      <w:proofErr w:type="gramEnd"/>
      <w:r w:rsidRPr="00BC3778">
        <w:rPr>
          <w:rFonts w:ascii="Calibri" w:eastAsia="Calibri" w:hAnsi="Calibri" w:cs="Times New Roman"/>
        </w:rPr>
        <w:t xml:space="preserve"> neonatais; </w:t>
      </w:r>
    </w:p>
    <w:p w14:paraId="5C6739A4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síndromes</w:t>
      </w:r>
      <w:proofErr w:type="gramEnd"/>
      <w:r w:rsidRPr="00BC3778">
        <w:rPr>
          <w:rFonts w:ascii="Calibri" w:eastAsia="Calibri" w:hAnsi="Calibri" w:cs="Times New Roman"/>
        </w:rPr>
        <w:t xml:space="preserve"> ou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desdordens</w:t>
      </w:r>
      <w:proofErr w:type="spellEnd"/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neurodegenerativas</w:t>
      </w:r>
      <w:proofErr w:type="spellEnd"/>
      <w:r>
        <w:rPr>
          <w:rFonts w:ascii="Calibri" w:eastAsia="Calibri" w:hAnsi="Calibri" w:cs="Times New Roman"/>
        </w:rPr>
        <w:t xml:space="preserve"> (ataxia de </w:t>
      </w:r>
      <w:proofErr w:type="spellStart"/>
      <w:r>
        <w:rPr>
          <w:rFonts w:ascii="Calibri" w:eastAsia="Calibri" w:hAnsi="Calibri" w:cs="Times New Roman"/>
        </w:rPr>
        <w:t>Friedreich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Charcot</w:t>
      </w:r>
      <w:proofErr w:type="spellEnd"/>
      <w:r>
        <w:rPr>
          <w:rFonts w:ascii="Calibri" w:eastAsia="Calibri" w:hAnsi="Calibri" w:cs="Times New Roman"/>
        </w:rPr>
        <w:t>-Marie-</w:t>
      </w:r>
      <w:proofErr w:type="spellStart"/>
      <w:r>
        <w:rPr>
          <w:rFonts w:ascii="Calibri" w:eastAsia="Calibri" w:hAnsi="Calibri" w:cs="Times New Roman"/>
        </w:rPr>
        <w:t>Tooth</w:t>
      </w:r>
      <w:proofErr w:type="spellEnd"/>
      <w:r>
        <w:rPr>
          <w:rFonts w:ascii="Calibri" w:eastAsia="Calibri" w:hAnsi="Calibri" w:cs="Times New Roman"/>
        </w:rPr>
        <w:t>)</w:t>
      </w:r>
    </w:p>
    <w:p w14:paraId="7F1B3B71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traumatismo</w:t>
      </w:r>
      <w:proofErr w:type="gramEnd"/>
      <w:r w:rsidRPr="00BC3778">
        <w:rPr>
          <w:rFonts w:ascii="Calibri" w:eastAsia="Calibri" w:hAnsi="Calibri" w:cs="Times New Roman"/>
        </w:rPr>
        <w:t xml:space="preserve"> craniano; </w:t>
      </w:r>
    </w:p>
    <w:p w14:paraId="52C44959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lastRenderedPageBreak/>
        <w:t>hemorragia</w:t>
      </w:r>
      <w:proofErr w:type="gramEnd"/>
      <w:r w:rsidRPr="00BC3778">
        <w:rPr>
          <w:rFonts w:ascii="Calibri" w:eastAsia="Calibri" w:hAnsi="Calibri" w:cs="Times New Roman"/>
        </w:rPr>
        <w:t xml:space="preserve"> ventricular; </w:t>
      </w:r>
    </w:p>
    <w:p w14:paraId="4F3EB95E" w14:textId="77777777" w:rsidR="00EA4246" w:rsidRPr="00BC3778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peso</w:t>
      </w:r>
      <w:proofErr w:type="gramEnd"/>
      <w:r w:rsidRPr="00BC3778">
        <w:rPr>
          <w:rFonts w:ascii="Calibri" w:eastAsia="Calibri" w:hAnsi="Calibri" w:cs="Times New Roman"/>
        </w:rPr>
        <w:t xml:space="preserve"> ao nascimento &lt; a 1</w:t>
      </w:r>
      <w:r>
        <w:rPr>
          <w:rFonts w:ascii="Calibri" w:eastAsia="Calibri" w:hAnsi="Calibri" w:cs="Times New Roman"/>
        </w:rPr>
        <w:t>.</w:t>
      </w:r>
      <w:r w:rsidRPr="00BC3778">
        <w:rPr>
          <w:rFonts w:ascii="Calibri" w:eastAsia="Calibri" w:hAnsi="Calibri" w:cs="Times New Roman"/>
        </w:rPr>
        <w:t>500 g e/ ou PIG (pequeno para a idade gestacional);</w:t>
      </w:r>
    </w:p>
    <w:p w14:paraId="345A236A" w14:textId="77777777" w:rsidR="00EA4246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 w:rsidRPr="00BC3778">
        <w:rPr>
          <w:rFonts w:ascii="Calibri" w:eastAsia="Calibri" w:hAnsi="Calibri" w:cs="Times New Roman"/>
        </w:rPr>
        <w:t>otites</w:t>
      </w:r>
      <w:proofErr w:type="gramEnd"/>
      <w:r w:rsidRPr="00BC3778">
        <w:rPr>
          <w:rFonts w:ascii="Calibri" w:eastAsia="Calibri" w:hAnsi="Calibri" w:cs="Times New Roman"/>
        </w:rPr>
        <w:t xml:space="preserve"> médias recorrentes / persistentes</w:t>
      </w:r>
      <w:r>
        <w:rPr>
          <w:rFonts w:ascii="Calibri" w:eastAsia="Calibri" w:hAnsi="Calibri" w:cs="Times New Roman"/>
        </w:rPr>
        <w:t>;</w:t>
      </w:r>
    </w:p>
    <w:p w14:paraId="010D724D" w14:textId="77777777" w:rsidR="00EA4246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síndromes</w:t>
      </w:r>
      <w:proofErr w:type="gramEnd"/>
      <w:r>
        <w:rPr>
          <w:rFonts w:ascii="Calibri" w:eastAsia="Calibri" w:hAnsi="Calibri" w:cs="Times New Roman"/>
        </w:rPr>
        <w:t xml:space="preserve"> associadas a perda auditiva: </w:t>
      </w:r>
      <w:proofErr w:type="spellStart"/>
      <w:r>
        <w:rPr>
          <w:rFonts w:ascii="Calibri" w:eastAsia="Calibri" w:hAnsi="Calibri" w:cs="Times New Roman"/>
        </w:rPr>
        <w:t>Waandenburg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Alport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Pendred</w:t>
      </w:r>
      <w:proofErr w:type="spellEnd"/>
      <w:r>
        <w:rPr>
          <w:rFonts w:ascii="Calibri" w:eastAsia="Calibri" w:hAnsi="Calibri" w:cs="Times New Roman"/>
        </w:rPr>
        <w:t>, etc.</w:t>
      </w:r>
    </w:p>
    <w:p w14:paraId="7BE6B0D0" w14:textId="77777777" w:rsidR="00EA4246" w:rsidRPr="00E92DD9" w:rsidRDefault="00EA4246" w:rsidP="00EA4246">
      <w:pPr>
        <w:numPr>
          <w:ilvl w:val="0"/>
          <w:numId w:val="35"/>
        </w:numPr>
        <w:spacing w:after="0" w:line="240" w:lineRule="auto"/>
        <w:ind w:right="-568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RN que ficaram em CEC (circulação </w:t>
      </w:r>
      <w:proofErr w:type="spellStart"/>
      <w:r>
        <w:rPr>
          <w:rFonts w:ascii="Calibri" w:eastAsia="Calibri" w:hAnsi="Calibri" w:cs="Times New Roman"/>
        </w:rPr>
        <w:t>extra-corpórea</w:t>
      </w:r>
      <w:proofErr w:type="spellEnd"/>
      <w:r>
        <w:rPr>
          <w:rFonts w:ascii="Calibri" w:eastAsia="Calibri" w:hAnsi="Calibri" w:cs="Times New Roman"/>
        </w:rPr>
        <w:t xml:space="preserve"> para cirurgia cardíaca) ou ECMO </w:t>
      </w:r>
    </w:p>
    <w:bookmarkEnd w:id="2"/>
    <w:p w14:paraId="2BE8FD38" w14:textId="5C1A0849" w:rsidR="00EA4246" w:rsidRDefault="00EA4246" w:rsidP="00EA4246">
      <w:pPr>
        <w:ind w:right="-567"/>
        <w:contextualSpacing/>
        <w:jc w:val="both"/>
        <w:rPr>
          <w:i/>
        </w:rPr>
      </w:pPr>
      <w:r w:rsidRPr="00E92DD9">
        <w:rPr>
          <w:rFonts w:ascii="Calibri" w:eastAsia="Calibri" w:hAnsi="Calibri" w:cs="Times New Roman"/>
          <w:i/>
          <w:iCs/>
        </w:rPr>
        <w:t>Obs.: caso o RN não tenha fechado os critérios ainda nas primeiras 48 horas, solicitar o TESTE da ORELHINHA como triagem inicial (não descarta a necessidade de PEATE depois de fechar os critérios acima)</w:t>
      </w:r>
    </w:p>
    <w:bookmarkEnd w:id="1"/>
    <w:p w14:paraId="656040E5" w14:textId="77777777" w:rsidR="006035B4" w:rsidRPr="00C62162" w:rsidRDefault="006035B4" w:rsidP="00D87497">
      <w:pPr>
        <w:contextualSpacing/>
        <w:jc w:val="both"/>
        <w:rPr>
          <w:color w:val="FF0000"/>
        </w:rPr>
      </w:pPr>
    </w:p>
    <w:tbl>
      <w:tblPr>
        <w:tblStyle w:val="Tabelacomgrade2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53113" w:rsidRPr="00BC3778" w14:paraId="6FDA76E2" w14:textId="77777777" w:rsidTr="00815674">
        <w:tc>
          <w:tcPr>
            <w:tcW w:w="9067" w:type="dxa"/>
            <w:shd w:val="clear" w:color="auto" w:fill="D9D9D9" w:themeFill="background1" w:themeFillShade="D9"/>
          </w:tcPr>
          <w:p w14:paraId="190F025D" w14:textId="6A1F2CEE" w:rsidR="00053113" w:rsidRPr="00BC3778" w:rsidRDefault="00053113" w:rsidP="00053113">
            <w:pPr>
              <w:spacing w:after="160"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Qual o fluxo</w:t>
            </w:r>
            <w:r w:rsidR="00D87497">
              <w:rPr>
                <w:b/>
              </w:rPr>
              <w:t xml:space="preserve"> para seguimento dos RN após os testes</w:t>
            </w:r>
            <w:r>
              <w:rPr>
                <w:b/>
              </w:rPr>
              <w:t>?</w:t>
            </w:r>
          </w:p>
        </w:tc>
      </w:tr>
    </w:tbl>
    <w:p w14:paraId="59029DAD" w14:textId="75817476" w:rsidR="00D87497" w:rsidRDefault="00D87497" w:rsidP="00053113">
      <w:pPr>
        <w:pStyle w:val="PargrafodaLista"/>
        <w:spacing w:after="0" w:line="240" w:lineRule="auto"/>
        <w:ind w:left="0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ab/>
      </w:r>
      <w:r>
        <w:rPr>
          <w:rFonts w:asciiTheme="minorHAnsi" w:eastAsiaTheme="minorHAnsi" w:hAnsiTheme="minorHAnsi" w:cstheme="minorBidi"/>
          <w:sz w:val="24"/>
          <w:szCs w:val="24"/>
        </w:rPr>
        <w:t>O Ministério da Saúde</w:t>
      </w:r>
      <w:r>
        <w:rPr>
          <w:rFonts w:asciiTheme="minorHAnsi" w:eastAsiaTheme="minorHAnsi" w:hAnsiTheme="minorHAnsi" w:cstheme="minorBidi"/>
          <w:sz w:val="24"/>
          <w:szCs w:val="24"/>
          <w:vertAlign w:val="superscript"/>
        </w:rPr>
        <w:t>1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recomenda repetição do exame (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</w:rPr>
        <w:t>reteste</w:t>
      </w:r>
      <w:proofErr w:type="spellEnd"/>
      <w:r>
        <w:rPr>
          <w:rFonts w:asciiTheme="minorHAnsi" w:eastAsiaTheme="minorHAnsi" w:hAnsiTheme="minorHAnsi" w:cstheme="minorBidi"/>
          <w:sz w:val="24"/>
          <w:szCs w:val="24"/>
        </w:rPr>
        <w:t>) nos casos de falha, assim como PEATE e avaliação de especialistas nas situações de falha. Nos casos de RN com alto risco para perda auditiva, um seguimento com fonoaudiólogo após alta será importante, conforme fluxograma abaixo:</w:t>
      </w:r>
    </w:p>
    <w:p w14:paraId="3EA32C21" w14:textId="6D27E6C4" w:rsidR="00D87497" w:rsidRPr="00D87497" w:rsidRDefault="00D87497" w:rsidP="00053113">
      <w:pPr>
        <w:pStyle w:val="PargrafodaLista"/>
        <w:spacing w:after="0" w:line="240" w:lineRule="auto"/>
        <w:ind w:left="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2B0FB8C9" w14:textId="61C17309" w:rsidR="00053113" w:rsidRPr="00792E3B" w:rsidRDefault="00053113" w:rsidP="00792E3B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792E3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RN de BAIXO RISCO:</w:t>
      </w:r>
      <w:r w:rsidR="00792E3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</w:t>
      </w:r>
    </w:p>
    <w:p w14:paraId="50DA91F5" w14:textId="24F3B58C" w:rsidR="00792E3B" w:rsidRPr="00792E3B" w:rsidRDefault="00792E3B" w:rsidP="00792E3B">
      <w:pPr>
        <w:pStyle w:val="PargrafodaLista"/>
        <w:numPr>
          <w:ilvl w:val="1"/>
          <w:numId w:val="37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792E3B">
        <w:rPr>
          <w:rFonts w:asciiTheme="minorHAnsi" w:eastAsiaTheme="minorHAnsi" w:hAnsiTheme="minorHAnsi" w:cstheme="minorBidi"/>
          <w:sz w:val="24"/>
          <w:szCs w:val="24"/>
        </w:rPr>
        <w:t xml:space="preserve">Fazer o </w:t>
      </w:r>
      <w:r w:rsidR="00053113" w:rsidRPr="00792E3B">
        <w:rPr>
          <w:rFonts w:asciiTheme="minorHAnsi" w:eastAsiaTheme="minorHAnsi" w:hAnsiTheme="minorHAnsi" w:cstheme="minorBidi"/>
          <w:sz w:val="24"/>
          <w:szCs w:val="24"/>
        </w:rPr>
        <w:t>OEA (preferencial até 3 dias de nascido</w:t>
      </w:r>
      <w:r w:rsidRPr="00792E3B">
        <w:rPr>
          <w:rFonts w:asciiTheme="minorHAnsi" w:eastAsiaTheme="minorHAnsi" w:hAnsiTheme="minorHAnsi" w:cstheme="minorBidi"/>
          <w:sz w:val="24"/>
          <w:szCs w:val="24"/>
        </w:rPr>
        <w:t>, podendo ser realizado até 1 mês):</w:t>
      </w:r>
    </w:p>
    <w:p w14:paraId="51149037" w14:textId="0E09AF7C" w:rsidR="00053113" w:rsidRPr="00053113" w:rsidRDefault="00053113" w:rsidP="00792E3B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b/>
          <w:sz w:val="24"/>
          <w:szCs w:val="24"/>
        </w:rPr>
        <w:t>se</w:t>
      </w:r>
      <w:proofErr w:type="gramEnd"/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passar, seguimento habitual</w:t>
      </w:r>
    </w:p>
    <w:p w14:paraId="6CEF3482" w14:textId="01A38DF3" w:rsidR="00792E3B" w:rsidRPr="00A7518B" w:rsidRDefault="00792E3B" w:rsidP="00792E3B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A7518B">
        <w:rPr>
          <w:sz w:val="24"/>
          <w:szCs w:val="24"/>
        </w:rPr>
        <w:t>se</w:t>
      </w:r>
      <w:proofErr w:type="gramEnd"/>
      <w:r w:rsidRPr="00A7518B">
        <w:rPr>
          <w:sz w:val="24"/>
          <w:szCs w:val="24"/>
        </w:rPr>
        <w:t xml:space="preserve"> não passar no primeiro OEA: indicado RETESTE com OEA</w:t>
      </w:r>
    </w:p>
    <w:p w14:paraId="017E9F8A" w14:textId="3B917BC1" w:rsidR="00A7518B" w:rsidRPr="00A7518B" w:rsidRDefault="00A7518B" w:rsidP="00A7518B">
      <w:pPr>
        <w:pStyle w:val="PargrafodaLista"/>
        <w:numPr>
          <w:ilvl w:val="3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A7518B">
        <w:rPr>
          <w:sz w:val="24"/>
          <w:szCs w:val="24"/>
        </w:rPr>
        <w:t>RN que receberá alta: dar alta com novo pedido de avaliação do teste da orelhinha em até 1 mês</w:t>
      </w:r>
    </w:p>
    <w:p w14:paraId="1BD8C684" w14:textId="16CFB680" w:rsidR="00A7518B" w:rsidRDefault="00A7518B" w:rsidP="00A7518B">
      <w:pPr>
        <w:pStyle w:val="PargrafodaLista"/>
        <w:numPr>
          <w:ilvl w:val="3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A7518B">
        <w:rPr>
          <w:sz w:val="24"/>
          <w:szCs w:val="24"/>
        </w:rPr>
        <w:t>RN que permanecerá internado: solicitar novo OEA em 24</w:t>
      </w:r>
      <w:r>
        <w:rPr>
          <w:sz w:val="24"/>
          <w:szCs w:val="24"/>
        </w:rPr>
        <w:t xml:space="preserve">-48 </w:t>
      </w:r>
      <w:r w:rsidRPr="00A7518B">
        <w:rPr>
          <w:sz w:val="24"/>
          <w:szCs w:val="24"/>
        </w:rPr>
        <w:t>horas</w:t>
      </w:r>
    </w:p>
    <w:p w14:paraId="24823D9A" w14:textId="77777777" w:rsidR="00EA4246" w:rsidRPr="00A7518B" w:rsidRDefault="00EA4246" w:rsidP="00EA4246">
      <w:pPr>
        <w:pStyle w:val="PargrafodaLista"/>
        <w:spacing w:after="0" w:line="240" w:lineRule="auto"/>
        <w:ind w:left="2880"/>
        <w:jc w:val="both"/>
        <w:rPr>
          <w:sz w:val="24"/>
          <w:szCs w:val="24"/>
        </w:rPr>
      </w:pPr>
    </w:p>
    <w:p w14:paraId="64B84F31" w14:textId="16083994" w:rsidR="00792E3B" w:rsidRDefault="006A7A3E" w:rsidP="00792E3B">
      <w:pPr>
        <w:pStyle w:val="PargrafodaLista"/>
        <w:numPr>
          <w:ilvl w:val="1"/>
          <w:numId w:val="3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indicado RETESTE do OEA</w:t>
      </w:r>
      <w:r w:rsidR="00A7518B">
        <w:rPr>
          <w:sz w:val="24"/>
          <w:szCs w:val="24"/>
        </w:rPr>
        <w:t xml:space="preserve">: </w:t>
      </w:r>
    </w:p>
    <w:p w14:paraId="2AE643EB" w14:textId="462AB503" w:rsidR="006A7A3E" w:rsidRPr="006A7A3E" w:rsidRDefault="00792E3B" w:rsidP="006A7A3E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passar no </w:t>
      </w:r>
      <w:proofErr w:type="spellStart"/>
      <w:r>
        <w:rPr>
          <w:sz w:val="24"/>
          <w:szCs w:val="24"/>
        </w:rPr>
        <w:t>reteste</w:t>
      </w:r>
      <w:proofErr w:type="spellEnd"/>
      <w:r>
        <w:rPr>
          <w:sz w:val="24"/>
          <w:szCs w:val="24"/>
        </w:rPr>
        <w:t>: fazer seguimento habitual</w:t>
      </w:r>
    </w:p>
    <w:p w14:paraId="2D12EB17" w14:textId="77777777" w:rsidR="00A7518B" w:rsidRDefault="00792E3B" w:rsidP="00792E3B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não passar no </w:t>
      </w:r>
      <w:proofErr w:type="spellStart"/>
      <w:r>
        <w:rPr>
          <w:sz w:val="24"/>
          <w:szCs w:val="24"/>
        </w:rPr>
        <w:t>reteste</w:t>
      </w:r>
      <w:proofErr w:type="spellEnd"/>
    </w:p>
    <w:p w14:paraId="487A07E8" w14:textId="12DF3A2C" w:rsidR="00A7518B" w:rsidRDefault="00A7518B" w:rsidP="00792E3B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solicitar</w:t>
      </w:r>
      <w:proofErr w:type="gramEnd"/>
      <w:r>
        <w:rPr>
          <w:sz w:val="24"/>
          <w:szCs w:val="24"/>
        </w:rPr>
        <w:t xml:space="preserve"> um PEATE mensal </w:t>
      </w:r>
    </w:p>
    <w:p w14:paraId="1174BCD8" w14:textId="77777777" w:rsidR="00A7518B" w:rsidRDefault="00A7518B" w:rsidP="00792E3B">
      <w:pPr>
        <w:pStyle w:val="PargrafodaLista"/>
        <w:numPr>
          <w:ilvl w:val="2"/>
          <w:numId w:val="3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Aos três meses solicitar além do PEATE:</w:t>
      </w:r>
    </w:p>
    <w:p w14:paraId="293284B1" w14:textId="157FB072" w:rsidR="006810D4" w:rsidRPr="00A7518B" w:rsidRDefault="006810D4" w:rsidP="006810D4">
      <w:pPr>
        <w:pStyle w:val="PargrafodaLista"/>
        <w:numPr>
          <w:ilvl w:val="3"/>
          <w:numId w:val="37"/>
        </w:numPr>
        <w:spacing w:after="0" w:line="240" w:lineRule="auto"/>
        <w:jc w:val="both"/>
        <w:rPr>
          <w:sz w:val="24"/>
          <w:szCs w:val="24"/>
        </w:rPr>
      </w:pPr>
      <w:bookmarkStart w:id="3" w:name="_Hlk150504907"/>
      <w:r w:rsidRPr="00A7518B">
        <w:rPr>
          <w:sz w:val="24"/>
          <w:szCs w:val="24"/>
        </w:rPr>
        <w:t>Avaliação do Otorrinolaringologista para avalição anatômico-funcional</w:t>
      </w:r>
    </w:p>
    <w:p w14:paraId="5EA0B4B1" w14:textId="6D36A194" w:rsidR="006810D4" w:rsidRPr="00A7518B" w:rsidRDefault="006810D4" w:rsidP="006810D4">
      <w:pPr>
        <w:pStyle w:val="PargrafodaLista"/>
        <w:numPr>
          <w:ilvl w:val="3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A7518B">
        <w:rPr>
          <w:sz w:val="24"/>
          <w:szCs w:val="24"/>
        </w:rPr>
        <w:t xml:space="preserve">Solicitar </w:t>
      </w:r>
      <w:r w:rsidR="00D76685" w:rsidRPr="00A7518B">
        <w:rPr>
          <w:sz w:val="24"/>
          <w:szCs w:val="24"/>
        </w:rPr>
        <w:t>ambulatoriamente</w:t>
      </w:r>
      <w:r w:rsidRPr="00A7518B">
        <w:rPr>
          <w:sz w:val="24"/>
          <w:szCs w:val="24"/>
        </w:rPr>
        <w:t xml:space="preserve"> (se ainda internado, irá realizar o exame e volta):</w:t>
      </w:r>
    </w:p>
    <w:p w14:paraId="5B15A3F1" w14:textId="3E880D32" w:rsidR="006810D4" w:rsidRPr="00A7518B" w:rsidRDefault="006810D4" w:rsidP="006810D4">
      <w:pPr>
        <w:pStyle w:val="PargrafodaLista"/>
        <w:numPr>
          <w:ilvl w:val="4"/>
          <w:numId w:val="37"/>
        </w:numPr>
        <w:spacing w:after="0" w:line="240" w:lineRule="auto"/>
        <w:jc w:val="both"/>
        <w:rPr>
          <w:sz w:val="24"/>
          <w:szCs w:val="24"/>
        </w:rPr>
      </w:pPr>
      <w:r w:rsidRPr="00A7518B">
        <w:rPr>
          <w:sz w:val="24"/>
          <w:szCs w:val="24"/>
        </w:rPr>
        <w:t>PEATE (BERA)</w:t>
      </w:r>
      <w:r w:rsidR="00A7518B" w:rsidRPr="00A7518B">
        <w:rPr>
          <w:sz w:val="24"/>
          <w:szCs w:val="24"/>
        </w:rPr>
        <w:t xml:space="preserve"> DIAGNÓSTICO (não é o mesmo de triagem que realizamos no HM Santa Helena)</w:t>
      </w:r>
    </w:p>
    <w:p w14:paraId="2108F027" w14:textId="01D64BA1" w:rsidR="006810D4" w:rsidRDefault="006810D4" w:rsidP="006810D4">
      <w:pPr>
        <w:pStyle w:val="PargrafodaLista"/>
        <w:numPr>
          <w:ilvl w:val="4"/>
          <w:numId w:val="37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Imitanciometria</w:t>
      </w:r>
      <w:proofErr w:type="spellEnd"/>
      <w:r>
        <w:rPr>
          <w:sz w:val="24"/>
          <w:szCs w:val="24"/>
        </w:rPr>
        <w:t xml:space="preserve"> (avaliar o ouvido médio)</w:t>
      </w:r>
    </w:p>
    <w:p w14:paraId="66561834" w14:textId="0F3B96F3" w:rsidR="006810D4" w:rsidRDefault="006810D4" w:rsidP="006810D4">
      <w:pPr>
        <w:pStyle w:val="PargrafodaLista"/>
        <w:numPr>
          <w:ilvl w:val="4"/>
          <w:numId w:val="3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Avaliação </w:t>
      </w:r>
      <w:r w:rsidR="00D76685">
        <w:rPr>
          <w:sz w:val="24"/>
          <w:szCs w:val="24"/>
        </w:rPr>
        <w:t>áudio</w:t>
      </w:r>
      <w:r w:rsidR="00A7518B">
        <w:rPr>
          <w:sz w:val="24"/>
          <w:szCs w:val="24"/>
        </w:rPr>
        <w:t>-</w:t>
      </w:r>
      <w:r>
        <w:rPr>
          <w:sz w:val="24"/>
          <w:szCs w:val="24"/>
        </w:rPr>
        <w:t>comportamental do processo auditivo central</w:t>
      </w:r>
    </w:p>
    <w:p w14:paraId="091075E1" w14:textId="75DE387A" w:rsidR="009618DF" w:rsidRDefault="009618DF" w:rsidP="009618DF">
      <w:pPr>
        <w:pStyle w:val="PargrafodaLista"/>
        <w:numPr>
          <w:ilvl w:val="3"/>
          <w:numId w:val="37"/>
        </w:numPr>
        <w:spacing w:after="0" w:line="240" w:lineRule="auto"/>
        <w:jc w:val="both"/>
        <w:rPr>
          <w:sz w:val="24"/>
          <w:szCs w:val="24"/>
        </w:rPr>
      </w:pPr>
      <w:bookmarkStart w:id="4" w:name="_Hlk150504915"/>
      <w:bookmarkEnd w:id="3"/>
      <w:r>
        <w:rPr>
          <w:sz w:val="24"/>
          <w:szCs w:val="24"/>
        </w:rPr>
        <w:t>Com o resultado d</w:t>
      </w:r>
      <w:r w:rsidR="00A7518B">
        <w:rPr>
          <w:sz w:val="24"/>
          <w:szCs w:val="24"/>
        </w:rPr>
        <w:t>estes</w:t>
      </w:r>
      <w:r>
        <w:rPr>
          <w:sz w:val="24"/>
          <w:szCs w:val="24"/>
        </w:rPr>
        <w:t xml:space="preserve"> exames, solicitar avaliação escrita </w:t>
      </w:r>
      <w:proofErr w:type="gramStart"/>
      <w:r>
        <w:rPr>
          <w:sz w:val="24"/>
          <w:szCs w:val="24"/>
        </w:rPr>
        <w:t>da fonoaudiólog</w:t>
      </w:r>
      <w:r w:rsidR="00A7518B">
        <w:rPr>
          <w:sz w:val="24"/>
          <w:szCs w:val="24"/>
        </w:rPr>
        <w:t>o</w:t>
      </w:r>
      <w:r>
        <w:rPr>
          <w:sz w:val="24"/>
          <w:szCs w:val="24"/>
        </w:rPr>
        <w:t xml:space="preserve"> p</w:t>
      </w:r>
      <w:r w:rsidR="000475CA">
        <w:rPr>
          <w:sz w:val="24"/>
          <w:szCs w:val="24"/>
        </w:rPr>
        <w:t>a</w:t>
      </w:r>
      <w:r>
        <w:rPr>
          <w:sz w:val="24"/>
          <w:szCs w:val="24"/>
        </w:rPr>
        <w:t>ra seguimento e i</w:t>
      </w:r>
      <w:r w:rsidR="000475CA">
        <w:rPr>
          <w:sz w:val="24"/>
          <w:szCs w:val="24"/>
        </w:rPr>
        <w:t>ntervenção precoce</w:t>
      </w:r>
      <w:proofErr w:type="gramEnd"/>
      <w:r w:rsidR="00CE3212">
        <w:rPr>
          <w:sz w:val="24"/>
          <w:szCs w:val="24"/>
        </w:rPr>
        <w:t xml:space="preserve"> (ao redor de 6 meses)</w:t>
      </w:r>
      <w:r w:rsidR="000475CA">
        <w:rPr>
          <w:sz w:val="24"/>
          <w:szCs w:val="24"/>
        </w:rPr>
        <w:t xml:space="preserve"> se indicado</w:t>
      </w:r>
      <w:r w:rsidR="00BF537B">
        <w:rPr>
          <w:sz w:val="24"/>
          <w:szCs w:val="24"/>
        </w:rPr>
        <w:t xml:space="preserve"> (aparelho: AASI ou Implante Coclear: IC)</w:t>
      </w:r>
    </w:p>
    <w:bookmarkEnd w:id="4"/>
    <w:p w14:paraId="33070BB8" w14:textId="773DC0BF" w:rsidR="00792E3B" w:rsidRDefault="00792E3B" w:rsidP="00792E3B">
      <w:pPr>
        <w:pStyle w:val="PargrafodaLista"/>
        <w:spacing w:after="0" w:line="240" w:lineRule="auto"/>
        <w:ind w:left="1440"/>
        <w:jc w:val="both"/>
        <w:rPr>
          <w:sz w:val="24"/>
          <w:szCs w:val="24"/>
        </w:rPr>
      </w:pPr>
    </w:p>
    <w:p w14:paraId="556699B2" w14:textId="77777777" w:rsidR="00EA4246" w:rsidRDefault="00EA4246" w:rsidP="00792E3B">
      <w:pPr>
        <w:pStyle w:val="PargrafodaLista"/>
        <w:spacing w:after="0" w:line="240" w:lineRule="auto"/>
        <w:ind w:left="1440"/>
        <w:jc w:val="both"/>
        <w:rPr>
          <w:sz w:val="24"/>
          <w:szCs w:val="24"/>
        </w:rPr>
      </w:pPr>
    </w:p>
    <w:p w14:paraId="4C3B45D7" w14:textId="4916BF44" w:rsidR="000475CA" w:rsidRPr="00792E3B" w:rsidRDefault="000475CA" w:rsidP="000475CA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Theme="minorHAnsi" w:eastAsiaTheme="minorHAnsi" w:hAnsiTheme="minorHAnsi" w:cstheme="minorBidi"/>
          <w:b/>
          <w:sz w:val="24"/>
          <w:szCs w:val="24"/>
          <w:u w:val="single"/>
        </w:rPr>
      </w:pPr>
      <w:r w:rsidRPr="00792E3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RN </w:t>
      </w: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>de ALTO</w:t>
      </w:r>
      <w:r w:rsidRPr="00792E3B"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RISCO:</w:t>
      </w:r>
      <w:r>
        <w:rPr>
          <w:rFonts w:asciiTheme="minorHAnsi" w:eastAsiaTheme="minorHAnsi" w:hAnsiTheme="minorHAnsi" w:cstheme="minorBidi"/>
          <w:b/>
          <w:sz w:val="24"/>
          <w:szCs w:val="24"/>
          <w:u w:val="single"/>
        </w:rPr>
        <w:t xml:space="preserve"> </w:t>
      </w:r>
    </w:p>
    <w:p w14:paraId="6092153C" w14:textId="5AEBB48C" w:rsidR="00B90B03" w:rsidRDefault="004B6B5E" w:rsidP="00B90B03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Solicitar </w:t>
      </w:r>
      <w:r w:rsidR="00EA4246">
        <w:rPr>
          <w:rFonts w:asciiTheme="minorHAnsi" w:eastAsiaTheme="minorHAnsi" w:hAnsiTheme="minorHAnsi" w:cstheme="minorBidi"/>
          <w:sz w:val="24"/>
          <w:szCs w:val="24"/>
        </w:rPr>
        <w:t>sempre o PEATE-A, além do teste da orelhinha:</w:t>
      </w:r>
    </w:p>
    <w:p w14:paraId="5061B098" w14:textId="4EC0A43D" w:rsidR="00B90B03" w:rsidRDefault="00B90B03" w:rsidP="00B90B03">
      <w:pPr>
        <w:pStyle w:val="PargrafodaLista"/>
        <w:numPr>
          <w:ilvl w:val="2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B90B03">
        <w:rPr>
          <w:sz w:val="24"/>
          <w:szCs w:val="24"/>
        </w:rPr>
        <w:t>se</w:t>
      </w:r>
      <w:proofErr w:type="gramEnd"/>
      <w:r w:rsidRPr="00B90B03">
        <w:rPr>
          <w:sz w:val="24"/>
          <w:szCs w:val="24"/>
        </w:rPr>
        <w:t xml:space="preserve"> passar no PEATE: encaminhar para reavaliação e seguimento com fonoaudiólogo aos 6, 12, 18 e 24 meses</w:t>
      </w:r>
    </w:p>
    <w:p w14:paraId="1C7EC09C" w14:textId="6E8DC8EA" w:rsidR="00B90B03" w:rsidRPr="00B90B03" w:rsidRDefault="00B90B03" w:rsidP="00B90B03">
      <w:pPr>
        <w:pStyle w:val="PargrafodaLista"/>
        <w:numPr>
          <w:ilvl w:val="2"/>
          <w:numId w:val="42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B90B03">
        <w:rPr>
          <w:rFonts w:asciiTheme="minorHAnsi" w:eastAsiaTheme="minorHAnsi" w:hAnsiTheme="minorHAnsi" w:cstheme="minorBidi"/>
          <w:sz w:val="24"/>
          <w:szCs w:val="24"/>
        </w:rPr>
        <w:t>se</w:t>
      </w:r>
      <w:proofErr w:type="gramEnd"/>
      <w:r w:rsidRPr="00B90B03">
        <w:rPr>
          <w:rFonts w:asciiTheme="minorHAnsi" w:eastAsiaTheme="minorHAnsi" w:hAnsiTheme="minorHAnsi" w:cstheme="minorBidi"/>
          <w:sz w:val="24"/>
          <w:szCs w:val="24"/>
        </w:rPr>
        <w:t xml:space="preserve"> falhar no PEATE: </w:t>
      </w:r>
      <w:r w:rsidRPr="00B90B03">
        <w:rPr>
          <w:sz w:val="24"/>
          <w:szCs w:val="24"/>
        </w:rPr>
        <w:t>solicitar por volta dos três meses de idade gestacional corrigida:</w:t>
      </w:r>
    </w:p>
    <w:p w14:paraId="45AFD92B" w14:textId="77777777" w:rsidR="00B90B03" w:rsidRPr="00B90B03" w:rsidRDefault="00B90B03" w:rsidP="00B90B03">
      <w:pPr>
        <w:pStyle w:val="PargrafodaLista"/>
        <w:numPr>
          <w:ilvl w:val="4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B90B03">
        <w:rPr>
          <w:sz w:val="24"/>
          <w:szCs w:val="24"/>
        </w:rPr>
        <w:t>Avaliação do Otorrinolaringologista para avalição anatômico-funcional</w:t>
      </w:r>
    </w:p>
    <w:p w14:paraId="062B1ED1" w14:textId="400D0D17" w:rsidR="00B90B03" w:rsidRPr="00B90B03" w:rsidRDefault="00B90B03" w:rsidP="00B90B03">
      <w:pPr>
        <w:pStyle w:val="PargrafodaLista"/>
        <w:numPr>
          <w:ilvl w:val="4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B90B03">
        <w:rPr>
          <w:sz w:val="24"/>
          <w:szCs w:val="24"/>
        </w:rPr>
        <w:t xml:space="preserve">Solicitar </w:t>
      </w:r>
      <w:r w:rsidR="00D76685" w:rsidRPr="00B90B03">
        <w:rPr>
          <w:sz w:val="24"/>
          <w:szCs w:val="24"/>
        </w:rPr>
        <w:t>ambulatoriamente</w:t>
      </w:r>
      <w:r w:rsidRPr="00B90B03">
        <w:rPr>
          <w:sz w:val="24"/>
          <w:szCs w:val="24"/>
        </w:rPr>
        <w:t xml:space="preserve"> (se ainda internado, irá realizar o exame e volta):</w:t>
      </w:r>
    </w:p>
    <w:p w14:paraId="3F49E362" w14:textId="77777777" w:rsidR="00B90B03" w:rsidRPr="00B90B03" w:rsidRDefault="00B90B03" w:rsidP="00B90B03">
      <w:pPr>
        <w:pStyle w:val="PargrafodaLista"/>
        <w:numPr>
          <w:ilvl w:val="5"/>
          <w:numId w:val="42"/>
        </w:numPr>
        <w:rPr>
          <w:sz w:val="24"/>
          <w:szCs w:val="24"/>
        </w:rPr>
      </w:pPr>
      <w:r w:rsidRPr="00B90B03">
        <w:rPr>
          <w:sz w:val="24"/>
          <w:szCs w:val="24"/>
        </w:rPr>
        <w:t>Um PEATE DIAGNÓSTICO (não é o mesmo de triagem que realizamos no HM Santa Helena)</w:t>
      </w:r>
    </w:p>
    <w:p w14:paraId="10A50DEE" w14:textId="77777777" w:rsidR="00B90B03" w:rsidRPr="00B90B03" w:rsidRDefault="00B90B03" w:rsidP="00B90B03">
      <w:pPr>
        <w:pStyle w:val="PargrafodaLista"/>
        <w:numPr>
          <w:ilvl w:val="5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B90B03">
        <w:rPr>
          <w:sz w:val="24"/>
          <w:szCs w:val="24"/>
        </w:rPr>
        <w:t>Imitanciometria</w:t>
      </w:r>
      <w:proofErr w:type="spellEnd"/>
      <w:r w:rsidRPr="00B90B03">
        <w:rPr>
          <w:sz w:val="24"/>
          <w:szCs w:val="24"/>
        </w:rPr>
        <w:t xml:space="preserve"> (avaliar o ouvido médio)</w:t>
      </w:r>
    </w:p>
    <w:p w14:paraId="27142972" w14:textId="77777777" w:rsidR="00B90B03" w:rsidRPr="00B90B03" w:rsidRDefault="00B90B03" w:rsidP="00B90B03">
      <w:pPr>
        <w:pStyle w:val="PargrafodaLista"/>
        <w:numPr>
          <w:ilvl w:val="5"/>
          <w:numId w:val="42"/>
        </w:numPr>
        <w:spacing w:after="0" w:line="240" w:lineRule="auto"/>
        <w:jc w:val="both"/>
        <w:rPr>
          <w:sz w:val="24"/>
          <w:szCs w:val="24"/>
        </w:rPr>
      </w:pPr>
      <w:r w:rsidRPr="00B90B03">
        <w:rPr>
          <w:sz w:val="24"/>
          <w:szCs w:val="24"/>
        </w:rPr>
        <w:t>Avaliação áudio-comportamental do processo auditivo central</w:t>
      </w:r>
    </w:p>
    <w:p w14:paraId="4BC125F8" w14:textId="77777777" w:rsidR="00B90B03" w:rsidRDefault="00B90B03" w:rsidP="00B90B03">
      <w:pPr>
        <w:pStyle w:val="PargrafodaLista"/>
        <w:spacing w:after="0" w:line="240" w:lineRule="auto"/>
        <w:ind w:left="216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14:paraId="44FA73C8" w14:textId="7C6E893A" w:rsidR="000475CA" w:rsidRPr="00B90B03" w:rsidRDefault="004B6B5E" w:rsidP="004B6B5E">
      <w:pPr>
        <w:pStyle w:val="PargrafodaLista"/>
        <w:numPr>
          <w:ilvl w:val="1"/>
          <w:numId w:val="42"/>
        </w:num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B90B03">
        <w:rPr>
          <w:rFonts w:asciiTheme="minorHAnsi" w:eastAsiaTheme="minorHAnsi" w:hAnsiTheme="minorHAnsi" w:cstheme="minorBidi"/>
          <w:sz w:val="24"/>
          <w:szCs w:val="24"/>
        </w:rPr>
        <w:t>Caso não seja possível a realização do PEATE por algum motivo</w:t>
      </w:r>
      <w:r w:rsidR="00B90B03">
        <w:rPr>
          <w:rFonts w:asciiTheme="minorHAnsi" w:eastAsiaTheme="minorHAnsi" w:hAnsiTheme="minorHAnsi" w:cstheme="minorBidi"/>
          <w:sz w:val="24"/>
          <w:szCs w:val="24"/>
        </w:rPr>
        <w:t xml:space="preserve"> ao nascimento</w:t>
      </w:r>
      <w:r w:rsidR="00EA4246">
        <w:rPr>
          <w:rFonts w:asciiTheme="minorHAnsi" w:eastAsiaTheme="minorHAnsi" w:hAnsiTheme="minorHAnsi" w:cstheme="minorBidi"/>
          <w:sz w:val="24"/>
          <w:szCs w:val="24"/>
        </w:rPr>
        <w:t xml:space="preserve"> ou no primeiro mês, </w:t>
      </w:r>
      <w:r w:rsidR="00CE3212" w:rsidRPr="00B90B03">
        <w:rPr>
          <w:b/>
          <w:sz w:val="24"/>
          <w:szCs w:val="24"/>
        </w:rPr>
        <w:t>INDEPENDENTEMENTE DO RESULTADO</w:t>
      </w:r>
      <w:r w:rsidRPr="00B90B03">
        <w:rPr>
          <w:b/>
          <w:sz w:val="24"/>
          <w:szCs w:val="24"/>
        </w:rPr>
        <w:t xml:space="preserve"> do teste da orelhinha</w:t>
      </w:r>
      <w:r w:rsidR="00CE3212" w:rsidRPr="00B90B03">
        <w:rPr>
          <w:b/>
          <w:sz w:val="24"/>
          <w:szCs w:val="24"/>
        </w:rPr>
        <w:t xml:space="preserve"> (passando ou não passando): </w:t>
      </w:r>
      <w:r w:rsidR="00CE3212" w:rsidRPr="00B90B03">
        <w:rPr>
          <w:i/>
          <w:sz w:val="24"/>
          <w:szCs w:val="24"/>
        </w:rPr>
        <w:t>mesmo passando, ao redor de 2 meses de idade gestacional corrigida, estará indicado realização do PEATE (BERA)</w:t>
      </w:r>
    </w:p>
    <w:p w14:paraId="7C449FDB" w14:textId="199832EF" w:rsidR="00CE3212" w:rsidRPr="00B90B03" w:rsidRDefault="00CE3212" w:rsidP="00CE3212">
      <w:pPr>
        <w:pStyle w:val="PargrafodaLista"/>
        <w:numPr>
          <w:ilvl w:val="3"/>
          <w:numId w:val="42"/>
        </w:numPr>
        <w:spacing w:after="0" w:line="240" w:lineRule="auto"/>
        <w:jc w:val="both"/>
        <w:rPr>
          <w:sz w:val="24"/>
          <w:szCs w:val="24"/>
        </w:rPr>
      </w:pPr>
      <w:bookmarkStart w:id="5" w:name="_Hlk150501746"/>
      <w:proofErr w:type="gramStart"/>
      <w:r w:rsidRPr="00B90B03">
        <w:rPr>
          <w:rFonts w:asciiTheme="minorHAnsi" w:eastAsiaTheme="minorHAnsi" w:hAnsiTheme="minorHAnsi" w:cstheme="minorBidi"/>
          <w:sz w:val="24"/>
          <w:szCs w:val="24"/>
        </w:rPr>
        <w:t>se</w:t>
      </w:r>
      <w:proofErr w:type="gramEnd"/>
      <w:r w:rsidRPr="00B90B03">
        <w:rPr>
          <w:rFonts w:asciiTheme="minorHAnsi" w:eastAsiaTheme="minorHAnsi" w:hAnsiTheme="minorHAnsi" w:cstheme="minorBidi"/>
          <w:sz w:val="24"/>
          <w:szCs w:val="24"/>
        </w:rPr>
        <w:t xml:space="preserve"> passar no PEATE: encaminhar para reavaliação e seguimento com fonoaudiólogo aos 6, 12, 18 e 24 meses</w:t>
      </w:r>
    </w:p>
    <w:p w14:paraId="7EFC6AD8" w14:textId="3D965FBB" w:rsidR="00CE3212" w:rsidRPr="00B90B03" w:rsidRDefault="00CE3212" w:rsidP="00CE3212">
      <w:pPr>
        <w:pStyle w:val="PargrafodaLista"/>
        <w:numPr>
          <w:ilvl w:val="3"/>
          <w:numId w:val="42"/>
        </w:numPr>
        <w:spacing w:after="0" w:line="240" w:lineRule="auto"/>
        <w:jc w:val="both"/>
        <w:rPr>
          <w:sz w:val="24"/>
          <w:szCs w:val="24"/>
        </w:rPr>
      </w:pPr>
      <w:proofErr w:type="gramStart"/>
      <w:r w:rsidRPr="00B90B03">
        <w:rPr>
          <w:rFonts w:asciiTheme="minorHAnsi" w:eastAsiaTheme="minorHAnsi" w:hAnsiTheme="minorHAnsi" w:cstheme="minorBidi"/>
          <w:sz w:val="24"/>
          <w:szCs w:val="24"/>
        </w:rPr>
        <w:t>se</w:t>
      </w:r>
      <w:proofErr w:type="gramEnd"/>
      <w:r w:rsidRPr="00B90B03">
        <w:rPr>
          <w:rFonts w:asciiTheme="minorHAnsi" w:eastAsiaTheme="minorHAnsi" w:hAnsiTheme="minorHAnsi" w:cstheme="minorBidi"/>
          <w:sz w:val="24"/>
          <w:szCs w:val="24"/>
        </w:rPr>
        <w:t xml:space="preserve"> falhar no PEATE: </w:t>
      </w:r>
      <w:r w:rsidRPr="00B90B03">
        <w:rPr>
          <w:sz w:val="24"/>
          <w:szCs w:val="24"/>
        </w:rPr>
        <w:t xml:space="preserve">solicitar por volta dos três meses de idade gestacional </w:t>
      </w:r>
      <w:r w:rsidR="00B90B03">
        <w:rPr>
          <w:sz w:val="24"/>
          <w:szCs w:val="24"/>
        </w:rPr>
        <w:t>os mesmos exames citados acima.</w:t>
      </w:r>
    </w:p>
    <w:bookmarkEnd w:id="5"/>
    <w:p w14:paraId="17185CD2" w14:textId="795BC06A" w:rsidR="000475CA" w:rsidRDefault="000475CA" w:rsidP="00CE3212">
      <w:pPr>
        <w:pStyle w:val="PargrafodaLista"/>
        <w:spacing w:after="0" w:line="240" w:lineRule="auto"/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Com o resultado dos exames, solicitar avaliação escrita da fonoaudióloga para seguimento e intervenção precoce</w:t>
      </w:r>
      <w:r w:rsidR="00CE3212">
        <w:rPr>
          <w:sz w:val="24"/>
          <w:szCs w:val="24"/>
        </w:rPr>
        <w:t xml:space="preserve"> (entre 3 a 6 meses)</w:t>
      </w:r>
      <w:r>
        <w:rPr>
          <w:sz w:val="24"/>
          <w:szCs w:val="24"/>
        </w:rPr>
        <w:t xml:space="preserve"> se indicado</w:t>
      </w:r>
      <w:r w:rsidR="00CE3212">
        <w:rPr>
          <w:sz w:val="24"/>
          <w:szCs w:val="24"/>
        </w:rPr>
        <w:t xml:space="preserve"> (aparelho: AASI ou Implante Coclear: IC)</w:t>
      </w:r>
    </w:p>
    <w:p w14:paraId="49D73791" w14:textId="1DE596AF" w:rsidR="002F78D2" w:rsidRPr="00B90B03" w:rsidRDefault="002F78D2" w:rsidP="00B90B03">
      <w:pPr>
        <w:spacing w:after="0" w:line="240" w:lineRule="auto"/>
        <w:jc w:val="both"/>
        <w:rPr>
          <w:sz w:val="24"/>
          <w:szCs w:val="24"/>
        </w:rPr>
      </w:pPr>
    </w:p>
    <w:p w14:paraId="0BD26728" w14:textId="2299255A" w:rsidR="005D09AC" w:rsidRDefault="005D09AC" w:rsidP="00244B0C">
      <w:pPr>
        <w:pStyle w:val="PargrafodaLista"/>
        <w:spacing w:after="0" w:line="240" w:lineRule="auto"/>
        <w:ind w:left="360"/>
        <w:jc w:val="both"/>
        <w:rPr>
          <w:sz w:val="24"/>
          <w:szCs w:val="24"/>
        </w:rPr>
      </w:pPr>
    </w:p>
    <w:p w14:paraId="040CC40C" w14:textId="24F6B561" w:rsidR="00B665EB" w:rsidRPr="00A55C70" w:rsidRDefault="00B665EB" w:rsidP="00B665EB">
      <w:pPr>
        <w:spacing w:after="0" w:line="240" w:lineRule="auto"/>
        <w:contextualSpacing/>
        <w:rPr>
          <w:b/>
          <w:color w:val="000000" w:themeColor="text1"/>
        </w:rPr>
      </w:pPr>
      <w:r w:rsidRPr="00A55C70">
        <w:rPr>
          <w:b/>
          <w:color w:val="000000" w:themeColor="text1"/>
        </w:rPr>
        <w:t>Referências:</w:t>
      </w:r>
    </w:p>
    <w:p w14:paraId="3E2137F8" w14:textId="52F1A826" w:rsidR="00B665EB" w:rsidRPr="00477A35" w:rsidRDefault="00477A35" w:rsidP="00477A35">
      <w:pPr>
        <w:pStyle w:val="PargrafodaLista"/>
        <w:numPr>
          <w:ilvl w:val="0"/>
          <w:numId w:val="32"/>
        </w:numPr>
        <w:spacing w:after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 xml:space="preserve">Brasil. Ministério da Saúde. Secretaria de Atenção à Saúde. Departamento de Ações Programáticas </w:t>
      </w:r>
      <w:proofErr w:type="spellStart"/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>Estratégicas.Diretrizes</w:t>
      </w:r>
      <w:proofErr w:type="spellEnd"/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 xml:space="preserve"> de Atenção da Triagem Auditiva Neonatal / Ministério da Saúde, Secretaria de Atenção à Saúde, Departamento de Ações</w:t>
      </w:r>
      <w:r>
        <w:rPr>
          <w:rStyle w:val="A3"/>
          <w:rFonts w:asciiTheme="minorHAnsi" w:hAnsiTheme="minorHAnsi" w:cstheme="minorHAnsi"/>
          <w:i/>
          <w:sz w:val="20"/>
          <w:szCs w:val="20"/>
        </w:rPr>
        <w:t xml:space="preserve">. </w:t>
      </w:r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 xml:space="preserve">Programáticas Estratégicas e Departamento de Atenção Especializada. – </w:t>
      </w:r>
      <w:proofErr w:type="gramStart"/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>Brasília :</w:t>
      </w:r>
      <w:proofErr w:type="gramEnd"/>
      <w:r w:rsidRPr="00477A35">
        <w:rPr>
          <w:rStyle w:val="A3"/>
          <w:rFonts w:asciiTheme="minorHAnsi" w:hAnsiTheme="minorHAnsi" w:cstheme="minorHAnsi"/>
          <w:i/>
          <w:sz w:val="20"/>
          <w:szCs w:val="20"/>
        </w:rPr>
        <w:t xml:space="preserve"> Ministério da Saúde, 2012.</w:t>
      </w:r>
      <w:r w:rsidR="003F493F" w:rsidRPr="00477A35">
        <w:rPr>
          <w:rStyle w:val="A3"/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16D134" w14:textId="038F8DCF" w:rsidR="00C76435" w:rsidRDefault="00C76435" w:rsidP="00C76435">
      <w:pPr>
        <w:spacing w:after="0" w:line="240" w:lineRule="auto"/>
        <w:ind w:right="-1"/>
        <w:jc w:val="both"/>
      </w:pPr>
    </w:p>
    <w:p w14:paraId="58A8C4BA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75826797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21380583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7032B3A9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3AC7B7CC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0B1F4858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5844F6B2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1950CCF5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10EE5F6A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29C8587F" w14:textId="4BD3A1AE" w:rsidR="00C76435" w:rsidRDefault="00B90B03" w:rsidP="003051B1">
      <w:pPr>
        <w:spacing w:after="0" w:line="240" w:lineRule="auto"/>
        <w:ind w:left="426" w:right="-1"/>
        <w:jc w:val="both"/>
      </w:pPr>
      <w:r>
        <w:t>Segue fluxograma do MS:</w:t>
      </w:r>
    </w:p>
    <w:p w14:paraId="35C878D3" w14:textId="77777777" w:rsidR="00B90B03" w:rsidRDefault="00B90B03" w:rsidP="003051B1">
      <w:pPr>
        <w:spacing w:after="0" w:line="240" w:lineRule="auto"/>
        <w:ind w:left="426" w:right="-1"/>
        <w:jc w:val="both"/>
      </w:pPr>
    </w:p>
    <w:p w14:paraId="2ABB09B1" w14:textId="48E3BD49" w:rsidR="00C76435" w:rsidRDefault="00B90B03" w:rsidP="003051B1">
      <w:pPr>
        <w:spacing w:after="0" w:line="240" w:lineRule="auto"/>
        <w:ind w:left="426" w:right="-1"/>
        <w:jc w:val="both"/>
      </w:pPr>
      <w:r>
        <w:rPr>
          <w:noProof/>
          <w:lang w:eastAsia="pt-BR"/>
        </w:rPr>
        <w:drawing>
          <wp:inline distT="0" distB="0" distL="0" distR="0" wp14:anchorId="51EE5CCD" wp14:editId="2359D8ED">
            <wp:extent cx="5767070" cy="6755130"/>
            <wp:effectExtent l="0" t="0" r="5080" b="7620"/>
            <wp:docPr id="1987166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675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F3F59" w14:textId="24AAEFB8" w:rsidR="00C76435" w:rsidRDefault="00C76435" w:rsidP="003051B1">
      <w:pPr>
        <w:spacing w:after="0" w:line="240" w:lineRule="auto"/>
        <w:ind w:left="426" w:right="-1"/>
        <w:jc w:val="both"/>
      </w:pPr>
    </w:p>
    <w:p w14:paraId="5150006E" w14:textId="77777777" w:rsidR="00C76435" w:rsidRDefault="00C76435" w:rsidP="00C76435">
      <w:pPr>
        <w:spacing w:after="0" w:line="240" w:lineRule="auto"/>
        <w:ind w:left="426" w:right="-1"/>
        <w:jc w:val="both"/>
      </w:pPr>
    </w:p>
    <w:p w14:paraId="052D61CB" w14:textId="77777777" w:rsidR="00C76435" w:rsidRDefault="00C76435" w:rsidP="00C76435">
      <w:pPr>
        <w:spacing w:after="0" w:line="240" w:lineRule="auto"/>
        <w:ind w:left="426" w:right="-1"/>
        <w:jc w:val="both"/>
      </w:pPr>
    </w:p>
    <w:p w14:paraId="390D5674" w14:textId="77777777" w:rsidR="00C76435" w:rsidRDefault="00C76435" w:rsidP="00C7643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FBA7256" w14:textId="77777777" w:rsidR="00C76435" w:rsidRDefault="00C76435" w:rsidP="00C76435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3BA048" w14:textId="77777777" w:rsidR="00B90B03" w:rsidRDefault="00B90B03" w:rsidP="00C7643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EB4BF3B" w14:textId="77777777" w:rsidR="00B90B03" w:rsidRDefault="00B90B03" w:rsidP="00C7643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1FEAF9F2" w14:textId="77777777" w:rsidR="00B90B03" w:rsidRDefault="00B90B03" w:rsidP="00C76435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76435" w14:paraId="696E8DEB" w14:textId="77777777" w:rsidTr="00B56747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C1310C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bookmarkStart w:id="6" w:name="_Hlk150505934"/>
            <w:r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83711A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96C0D3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7011FA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C76435" w14:paraId="2D854ADF" w14:textId="77777777" w:rsidTr="00D76685">
        <w:trPr>
          <w:trHeight w:val="9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B3E8" w14:textId="77777777" w:rsidR="00C76435" w:rsidRDefault="00C76435" w:rsidP="00D7668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280E73BF" w14:textId="77777777" w:rsidR="00C76435" w:rsidRPr="00C76435" w:rsidRDefault="00C76435" w:rsidP="00D76685">
            <w:pPr>
              <w:pStyle w:val="Rodap"/>
              <w:jc w:val="center"/>
              <w:rPr>
                <w:sz w:val="16"/>
                <w:szCs w:val="16"/>
              </w:rPr>
            </w:pPr>
            <w:r w:rsidRPr="00C76435">
              <w:rPr>
                <w:sz w:val="16"/>
                <w:szCs w:val="16"/>
              </w:rPr>
              <w:t>MARCOS ALVES PAVIONE</w:t>
            </w:r>
          </w:p>
          <w:p w14:paraId="4D7B1D29" w14:textId="77777777" w:rsidR="00C76435" w:rsidRPr="00C76435" w:rsidRDefault="00C76435" w:rsidP="00D76685">
            <w:pPr>
              <w:pStyle w:val="Rodap"/>
              <w:jc w:val="center"/>
              <w:rPr>
                <w:sz w:val="16"/>
                <w:szCs w:val="16"/>
              </w:rPr>
            </w:pPr>
            <w:r w:rsidRPr="00C76435">
              <w:rPr>
                <w:sz w:val="16"/>
                <w:szCs w:val="16"/>
              </w:rPr>
              <w:t>Diretor Técnico</w:t>
            </w:r>
          </w:p>
          <w:p w14:paraId="071A8AC6" w14:textId="77777777" w:rsidR="00C76435" w:rsidRPr="00C76435" w:rsidRDefault="00C76435" w:rsidP="00D7668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3CB9" w14:textId="77777777" w:rsidR="002F3DC3" w:rsidRDefault="002F3DC3" w:rsidP="00D7668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33170692" w14:textId="77777777" w:rsidR="002F3DC3" w:rsidRPr="00C76435" w:rsidRDefault="002F3DC3" w:rsidP="00D76685">
            <w:pPr>
              <w:pStyle w:val="Rodap"/>
              <w:jc w:val="center"/>
              <w:rPr>
                <w:sz w:val="16"/>
                <w:szCs w:val="16"/>
              </w:rPr>
            </w:pPr>
            <w:r w:rsidRPr="00C76435">
              <w:rPr>
                <w:sz w:val="16"/>
                <w:szCs w:val="16"/>
              </w:rPr>
              <w:t>MARCOS ALVES PAVIONE</w:t>
            </w:r>
          </w:p>
          <w:p w14:paraId="2F83C525" w14:textId="5FD8D1A5" w:rsidR="00EA4246" w:rsidRDefault="002F3DC3" w:rsidP="00D76685">
            <w:pPr>
              <w:pStyle w:val="Rodap"/>
              <w:jc w:val="center"/>
              <w:rPr>
                <w:sz w:val="16"/>
                <w:szCs w:val="16"/>
              </w:rPr>
            </w:pPr>
            <w:r w:rsidRPr="00C76435">
              <w:rPr>
                <w:sz w:val="16"/>
                <w:szCs w:val="16"/>
              </w:rPr>
              <w:t>Diretor Técnico</w:t>
            </w:r>
          </w:p>
          <w:p w14:paraId="1BEF86ED" w14:textId="77777777" w:rsidR="00D76685" w:rsidRDefault="00D76685" w:rsidP="00D7668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1563DAA5" w14:textId="30C2DA9C" w:rsidR="002F3DC3" w:rsidRDefault="00EA4246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DRA. PATRÍCIA ISHI</w:t>
            </w:r>
          </w:p>
          <w:p w14:paraId="3BE7AE22" w14:textId="6A10133C" w:rsidR="00EA4246" w:rsidRPr="00C76435" w:rsidRDefault="00EA4246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Coordenadora neonatologia</w:t>
            </w:r>
          </w:p>
          <w:p w14:paraId="14F72E48" w14:textId="13B926D4" w:rsidR="002F3DC3" w:rsidRPr="00C76435" w:rsidRDefault="002F3DC3" w:rsidP="00D76685">
            <w:pPr>
              <w:pStyle w:val="Rodap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8153" w14:textId="638A05D1" w:rsidR="00B90B03" w:rsidRPr="00C76435" w:rsidRDefault="00B90B03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THALES LIMA</w:t>
            </w:r>
          </w:p>
          <w:p w14:paraId="56DB1D40" w14:textId="710C6514" w:rsidR="00B90B03" w:rsidRDefault="00B90B03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Fonoaudiólogo</w:t>
            </w:r>
          </w:p>
          <w:p w14:paraId="038EA7B5" w14:textId="77777777" w:rsidR="00D76685" w:rsidRDefault="00D76685" w:rsidP="00D76685">
            <w:pPr>
              <w:pStyle w:val="Rodap"/>
              <w:jc w:val="center"/>
              <w:rPr>
                <w:sz w:val="16"/>
                <w:szCs w:val="16"/>
              </w:rPr>
            </w:pPr>
          </w:p>
          <w:p w14:paraId="1A30B6AD" w14:textId="4BB2B5E1" w:rsidR="00B90B03" w:rsidRDefault="00B90B03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ISABEL CECÍLIA</w:t>
            </w:r>
          </w:p>
          <w:p w14:paraId="6E54C9E6" w14:textId="3E34D8A0" w:rsidR="00B90B03" w:rsidRPr="00C76435" w:rsidRDefault="00B90B03" w:rsidP="00D76685">
            <w:pPr>
              <w:pStyle w:val="Rodap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Fonoaudiólogo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BA9D" w14:textId="24F1CF4F" w:rsidR="00C76435" w:rsidRDefault="00D76685" w:rsidP="00D7668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 w:rsidRPr="00D76685">
              <w:rPr>
                <w:sz w:val="16"/>
                <w:szCs w:val="16"/>
              </w:rPr>
              <w:t>VIVIANE OLIVEIRA DE SOUSA CORREIA</w:t>
            </w:r>
          </w:p>
          <w:p w14:paraId="6E041422" w14:textId="21FA4650" w:rsidR="00B90B03" w:rsidRPr="00C76435" w:rsidRDefault="00D76685" w:rsidP="00D76685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Enfermeira SCIH e Qualidade</w:t>
            </w:r>
          </w:p>
        </w:tc>
      </w:tr>
      <w:tr w:rsidR="00C76435" w14:paraId="0D36E9B3" w14:textId="77777777" w:rsidTr="00B56747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623DA" w14:textId="77777777" w:rsidR="00C76435" w:rsidRDefault="00C76435" w:rsidP="00B90B0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 10/10/2022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A500B" w14:textId="54F4A816" w:rsidR="00C76435" w:rsidRDefault="00C76435" w:rsidP="00B90B0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A4246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>/1</w:t>
            </w:r>
            <w:r w:rsidR="002F3DC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/202</w:t>
            </w:r>
            <w:r w:rsidR="002F3DC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0D7490" w14:textId="1E26425E" w:rsidR="00C76435" w:rsidRDefault="00C76435" w:rsidP="00B90B0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A4246">
              <w:rPr>
                <w:b/>
                <w:sz w:val="18"/>
                <w:szCs w:val="18"/>
              </w:rPr>
              <w:t>22</w:t>
            </w:r>
            <w:r w:rsidR="002F3DC3">
              <w:rPr>
                <w:b/>
                <w:sz w:val="18"/>
                <w:szCs w:val="18"/>
              </w:rPr>
              <w:t>/11/2023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3D857E" w14:textId="40E21F11" w:rsidR="00C76435" w:rsidRDefault="00C76435" w:rsidP="00B90B03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EA4246">
              <w:rPr>
                <w:b/>
                <w:sz w:val="18"/>
                <w:szCs w:val="18"/>
              </w:rPr>
              <w:t>2</w:t>
            </w:r>
            <w:r w:rsidR="00D76685">
              <w:rPr>
                <w:b/>
                <w:sz w:val="18"/>
                <w:szCs w:val="18"/>
              </w:rPr>
              <w:t>2</w:t>
            </w:r>
            <w:r w:rsidR="002F3DC3">
              <w:rPr>
                <w:b/>
                <w:sz w:val="18"/>
                <w:szCs w:val="18"/>
              </w:rPr>
              <w:t>/11/2023</w:t>
            </w:r>
          </w:p>
        </w:tc>
      </w:tr>
      <w:tr w:rsidR="00C76435" w14:paraId="1853B317" w14:textId="77777777" w:rsidTr="00B56747">
        <w:trPr>
          <w:trHeight w:val="176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CE978" w14:textId="156FDD5A" w:rsidR="00C76435" w:rsidRDefault="00C76435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0EB030FB" w14:textId="51FDBC21" w:rsidR="005718BD" w:rsidRDefault="005718BD" w:rsidP="00B5674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3B31DB8" wp14:editId="10D846F6">
                  <wp:extent cx="1654502" cy="539038"/>
                  <wp:effectExtent l="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907" cy="55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BBA577C" wp14:editId="259F22A7">
                  <wp:extent cx="1343025" cy="708123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a Patrícia Ishi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71" cy="71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bookmarkStart w:id="7" w:name="_GoBack"/>
            <w:bookmarkEnd w:id="7"/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67F92FF" wp14:editId="097C48D6">
                  <wp:extent cx="1603638" cy="840740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Viviane Oliveira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955" cy="84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0A4080" w14:textId="77777777" w:rsidR="00C76435" w:rsidRDefault="00C76435" w:rsidP="00C76435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4A59471A" w14:textId="77777777" w:rsidR="00C76435" w:rsidRDefault="00C76435" w:rsidP="00C76435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C76435" w14:paraId="71FBA53C" w14:textId="77777777" w:rsidTr="00B56747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bookmarkEnd w:id="6"/>
          <w:p w14:paraId="5E099572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B730EC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DCA6E5" w14:textId="77777777" w:rsidR="00C76435" w:rsidRDefault="00C76435" w:rsidP="00B56747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C76435" w14:paraId="79976C07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EED59" w14:textId="77777777" w:rsidR="00C76435" w:rsidRDefault="00C76435" w:rsidP="00B56747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6798" w14:textId="055BBA15" w:rsidR="00C76435" w:rsidRDefault="002F3DC3" w:rsidP="00B5674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Revisado para introdução do PEATE</w:t>
            </w:r>
            <w:r w:rsidR="00EA4246">
              <w:rPr>
                <w:rFonts w:cstheme="minorHAnsi"/>
              </w:rPr>
              <w:t>-A</w:t>
            </w:r>
            <w:r>
              <w:rPr>
                <w:rFonts w:cstheme="minorHAnsi"/>
              </w:rPr>
              <w:t xml:space="preserve"> na maternidade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FA27" w14:textId="4D3D2F3A" w:rsidR="00C76435" w:rsidRDefault="002F3DC3" w:rsidP="00B56747">
            <w:pPr>
              <w:rPr>
                <w:rFonts w:cstheme="minorHAnsi"/>
              </w:rPr>
            </w:pPr>
            <w:r>
              <w:rPr>
                <w:rFonts w:cstheme="minorHAnsi"/>
              </w:rPr>
              <w:t>10/11/2023</w:t>
            </w:r>
          </w:p>
        </w:tc>
      </w:tr>
      <w:tr w:rsidR="00C76435" w14:paraId="1FE38009" w14:textId="77777777" w:rsidTr="00B56747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83BC8" w14:textId="77777777" w:rsidR="00C76435" w:rsidRDefault="00C76435" w:rsidP="00B56747">
            <w:pPr>
              <w:pStyle w:val="Rodap"/>
              <w:spacing w:line="276" w:lineRule="auto"/>
            </w:pPr>
            <w: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F95" w14:textId="77777777" w:rsidR="00C76435" w:rsidRDefault="00C76435" w:rsidP="00B56747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BDE7E" w14:textId="77777777" w:rsidR="00C76435" w:rsidRDefault="00C76435" w:rsidP="00B56747">
            <w:pPr>
              <w:rPr>
                <w:rFonts w:cstheme="minorHAnsi"/>
                <w:szCs w:val="20"/>
              </w:rPr>
            </w:pPr>
          </w:p>
        </w:tc>
      </w:tr>
    </w:tbl>
    <w:p w14:paraId="75B3A133" w14:textId="77777777" w:rsidR="00C76435" w:rsidRDefault="00C76435" w:rsidP="00C76435">
      <w:pPr>
        <w:pStyle w:val="Rodap"/>
        <w:rPr>
          <w:sz w:val="24"/>
          <w:szCs w:val="24"/>
        </w:rPr>
      </w:pPr>
    </w:p>
    <w:p w14:paraId="205DD9FF" w14:textId="54172011" w:rsidR="00C76435" w:rsidRDefault="00C76435" w:rsidP="00C76435">
      <w:pPr>
        <w:spacing w:after="0" w:line="240" w:lineRule="auto"/>
        <w:ind w:right="-1"/>
        <w:jc w:val="both"/>
      </w:pPr>
    </w:p>
    <w:p w14:paraId="3A058B62" w14:textId="1032A42A" w:rsidR="00C76435" w:rsidRDefault="00C76435" w:rsidP="003051B1">
      <w:pPr>
        <w:spacing w:after="0" w:line="240" w:lineRule="auto"/>
        <w:ind w:left="426" w:right="-1"/>
        <w:jc w:val="both"/>
      </w:pPr>
    </w:p>
    <w:p w14:paraId="4AAD0045" w14:textId="2F3F92C1" w:rsidR="00C76435" w:rsidRDefault="00C76435" w:rsidP="003051B1">
      <w:pPr>
        <w:spacing w:after="0" w:line="240" w:lineRule="auto"/>
        <w:ind w:left="426" w:right="-1"/>
        <w:jc w:val="both"/>
      </w:pPr>
    </w:p>
    <w:p w14:paraId="3D7DFDAA" w14:textId="75B35C20" w:rsidR="00B665EB" w:rsidRPr="003F493F" w:rsidRDefault="00B665EB" w:rsidP="003051B1">
      <w:pPr>
        <w:spacing w:after="0" w:line="240" w:lineRule="auto"/>
        <w:ind w:left="426" w:right="-1"/>
        <w:jc w:val="both"/>
      </w:pPr>
    </w:p>
    <w:sectPr w:rsidR="00B665EB" w:rsidRPr="003F493F" w:rsidSect="0050273A">
      <w:headerReference w:type="default" r:id="rId13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A757" w14:textId="77777777" w:rsidR="00547A0D" w:rsidRDefault="00547A0D" w:rsidP="00885C72">
      <w:pPr>
        <w:spacing w:after="0" w:line="240" w:lineRule="auto"/>
      </w:pPr>
      <w:r>
        <w:separator/>
      </w:r>
    </w:p>
  </w:endnote>
  <w:endnote w:type="continuationSeparator" w:id="0">
    <w:p w14:paraId="7B05F341" w14:textId="77777777" w:rsidR="00547A0D" w:rsidRDefault="00547A0D" w:rsidP="0088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F0C48" w14:textId="77777777" w:rsidR="00547A0D" w:rsidRDefault="00547A0D" w:rsidP="00885C72">
      <w:pPr>
        <w:spacing w:after="0" w:line="240" w:lineRule="auto"/>
      </w:pPr>
      <w:r>
        <w:separator/>
      </w:r>
    </w:p>
  </w:footnote>
  <w:footnote w:type="continuationSeparator" w:id="0">
    <w:p w14:paraId="516EDBEF" w14:textId="77777777" w:rsidR="00547A0D" w:rsidRDefault="00547A0D" w:rsidP="0088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28003F" w:rsidRPr="003A52FB" w14:paraId="2CF892F0" w14:textId="77777777" w:rsidTr="00582325">
      <w:trPr>
        <w:trHeight w:val="165"/>
      </w:trPr>
      <w:tc>
        <w:tcPr>
          <w:tcW w:w="1213" w:type="dxa"/>
          <w:vMerge w:val="restart"/>
        </w:tcPr>
        <w:p w14:paraId="1A031576" w14:textId="1D9BBC2B" w:rsidR="0028003F" w:rsidRPr="003A52FB" w:rsidRDefault="00C76435" w:rsidP="00885C72">
          <w:pPr>
            <w:pStyle w:val="Cabealho"/>
            <w:ind w:left="-75" w:firstLine="75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18D96177" wp14:editId="0439588E">
                <wp:simplePos x="0" y="0"/>
                <wp:positionH relativeFrom="column">
                  <wp:posOffset>-13335</wp:posOffset>
                </wp:positionH>
                <wp:positionV relativeFrom="paragraph">
                  <wp:posOffset>146050</wp:posOffset>
                </wp:positionV>
                <wp:extent cx="681355" cy="681355"/>
                <wp:effectExtent l="0" t="0" r="0" b="4445"/>
                <wp:wrapNone/>
                <wp:docPr id="870033682" name="Imagem 870033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355" cy="681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35B1448" w14:textId="77777777" w:rsidR="0028003F" w:rsidRPr="003A52FB" w:rsidRDefault="0028003F" w:rsidP="00885C72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5825BB69" w14:textId="0670D83F" w:rsidR="0028003F" w:rsidRPr="0001281D" w:rsidRDefault="00A90BC8" w:rsidP="00885C72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 xml:space="preserve">PROTOCOLO </w:t>
          </w:r>
        </w:p>
      </w:tc>
      <w:tc>
        <w:tcPr>
          <w:tcW w:w="1889" w:type="dxa"/>
          <w:shd w:val="clear" w:color="auto" w:fill="D9D9D9"/>
        </w:tcPr>
        <w:p w14:paraId="3A93A042" w14:textId="77777777" w:rsidR="0028003F" w:rsidRPr="003E6EEA" w:rsidRDefault="0028003F" w:rsidP="00885C72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4C77DA25" w14:textId="77777777" w:rsidR="0028003F" w:rsidRPr="003E6EEA" w:rsidRDefault="0028003F" w:rsidP="00885C72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28003F" w:rsidRPr="003A52FB" w14:paraId="426379D4" w14:textId="77777777" w:rsidTr="00582325">
      <w:trPr>
        <w:trHeight w:val="304"/>
      </w:trPr>
      <w:tc>
        <w:tcPr>
          <w:tcW w:w="1213" w:type="dxa"/>
          <w:vMerge/>
        </w:tcPr>
        <w:p w14:paraId="5729BE54" w14:textId="77777777" w:rsidR="0028003F" w:rsidRPr="003A52FB" w:rsidRDefault="0028003F" w:rsidP="00885C72">
          <w:pPr>
            <w:pStyle w:val="Cabealho"/>
            <w:rPr>
              <w:rFonts w:cs="Arial"/>
              <w:noProof/>
              <w:lang w:eastAsia="pt-BR"/>
            </w:rPr>
          </w:pPr>
          <w:bookmarkStart w:id="8" w:name="_Hlk150505867"/>
        </w:p>
      </w:tc>
      <w:tc>
        <w:tcPr>
          <w:tcW w:w="4878" w:type="dxa"/>
          <w:vMerge/>
          <w:shd w:val="clear" w:color="auto" w:fill="D9D9D9"/>
        </w:tcPr>
        <w:p w14:paraId="77777EBE" w14:textId="77777777" w:rsidR="0028003F" w:rsidRPr="003A52FB" w:rsidRDefault="0028003F" w:rsidP="00885C7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3E46443F" w14:textId="6536FBC4" w:rsidR="0028003F" w:rsidRPr="00C01416" w:rsidRDefault="00C76435" w:rsidP="00B271F0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76435">
            <w:rPr>
              <w:rFonts w:cs="Arial"/>
              <w:sz w:val="20"/>
              <w:szCs w:val="20"/>
            </w:rPr>
            <w:t>PROT.DT.059</w:t>
          </w:r>
        </w:p>
      </w:tc>
      <w:tc>
        <w:tcPr>
          <w:tcW w:w="1087" w:type="dxa"/>
        </w:tcPr>
        <w:p w14:paraId="28B4FD3B" w14:textId="61B727C2" w:rsidR="0028003F" w:rsidRPr="003E6EEA" w:rsidRDefault="0028003F" w:rsidP="00885C72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5718BD">
            <w:rPr>
              <w:bCs/>
              <w:noProof/>
              <w:color w:val="000000" w:themeColor="text1"/>
            </w:rPr>
            <w:t>8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5718BD">
            <w:rPr>
              <w:bCs/>
              <w:noProof/>
              <w:color w:val="000000" w:themeColor="text1"/>
            </w:rPr>
            <w:t>8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bookmarkEnd w:id="8"/>
    <w:tr w:rsidR="0028003F" w:rsidRPr="003A52FB" w14:paraId="257CE531" w14:textId="77777777" w:rsidTr="00582325">
      <w:trPr>
        <w:trHeight w:val="207"/>
      </w:trPr>
      <w:tc>
        <w:tcPr>
          <w:tcW w:w="1213" w:type="dxa"/>
          <w:vMerge/>
        </w:tcPr>
        <w:p w14:paraId="7D459919" w14:textId="77777777" w:rsidR="0028003F" w:rsidRPr="003A52FB" w:rsidRDefault="0028003F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720F412D" w14:textId="62E1C176" w:rsidR="0028003F" w:rsidRPr="00034102" w:rsidRDefault="00887444" w:rsidP="00B271F0">
          <w:pPr>
            <w:pStyle w:val="Cabealho"/>
            <w:jc w:val="center"/>
            <w:rPr>
              <w:rFonts w:cs="Arial"/>
              <w:sz w:val="24"/>
              <w:szCs w:val="24"/>
            </w:rPr>
          </w:pPr>
          <w:bookmarkStart w:id="9" w:name="_Hlk150505859"/>
          <w:r>
            <w:rPr>
              <w:rFonts w:cs="Arial"/>
              <w:sz w:val="24"/>
              <w:szCs w:val="24"/>
            </w:rPr>
            <w:t xml:space="preserve">SOLICITAÇÃO </w:t>
          </w:r>
          <w:r w:rsidR="00B271F0">
            <w:rPr>
              <w:rFonts w:cs="Arial"/>
              <w:sz w:val="24"/>
              <w:szCs w:val="24"/>
            </w:rPr>
            <w:t>E REALIZAÇÃO DO</w:t>
          </w:r>
          <w:r>
            <w:rPr>
              <w:rFonts w:cs="Arial"/>
              <w:sz w:val="24"/>
              <w:szCs w:val="24"/>
            </w:rPr>
            <w:t xml:space="preserve"> </w:t>
          </w:r>
          <w:r w:rsidR="00B271F0">
            <w:rPr>
              <w:rFonts w:cs="Arial"/>
              <w:sz w:val="24"/>
              <w:szCs w:val="24"/>
            </w:rPr>
            <w:t>T</w:t>
          </w:r>
          <w:r w:rsidR="002477AC">
            <w:rPr>
              <w:rFonts w:cs="Arial"/>
              <w:sz w:val="24"/>
              <w:szCs w:val="24"/>
            </w:rPr>
            <w:t>ESTE DA ORELHINHA (EMISSÕES OTO</w:t>
          </w:r>
          <w:r w:rsidR="00B271F0">
            <w:rPr>
              <w:rFonts w:cs="Arial"/>
              <w:sz w:val="24"/>
              <w:szCs w:val="24"/>
            </w:rPr>
            <w:t>ACÚSTICAS</w:t>
          </w:r>
          <w:r w:rsidR="005A15D7">
            <w:rPr>
              <w:rFonts w:cs="Arial"/>
              <w:sz w:val="24"/>
              <w:szCs w:val="24"/>
            </w:rPr>
            <w:t xml:space="preserve"> EVOCADAS - EOA</w:t>
          </w:r>
          <w:r w:rsidR="00B271F0">
            <w:rPr>
              <w:rFonts w:cs="Arial"/>
              <w:sz w:val="24"/>
              <w:szCs w:val="24"/>
            </w:rPr>
            <w:t>)</w:t>
          </w:r>
          <w:bookmarkEnd w:id="9"/>
        </w:p>
      </w:tc>
      <w:tc>
        <w:tcPr>
          <w:tcW w:w="1889" w:type="dxa"/>
          <w:shd w:val="clear" w:color="auto" w:fill="D9D9D9"/>
        </w:tcPr>
        <w:p w14:paraId="4E44472B" w14:textId="77777777" w:rsidR="0028003F" w:rsidRPr="000227EE" w:rsidRDefault="0028003F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2C6B2526" w14:textId="77777777" w:rsidR="0028003F" w:rsidRPr="000227EE" w:rsidRDefault="0028003F" w:rsidP="00885C72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28003F" w:rsidRPr="003A52FB" w14:paraId="73BC17E9" w14:textId="77777777" w:rsidTr="00582325">
      <w:trPr>
        <w:trHeight w:val="395"/>
      </w:trPr>
      <w:tc>
        <w:tcPr>
          <w:tcW w:w="1213" w:type="dxa"/>
          <w:vMerge/>
        </w:tcPr>
        <w:p w14:paraId="43716018" w14:textId="77777777" w:rsidR="0028003F" w:rsidRPr="003A52FB" w:rsidRDefault="0028003F" w:rsidP="00885C72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6F8043A5" w14:textId="77777777" w:rsidR="0028003F" w:rsidRPr="003A52FB" w:rsidRDefault="0028003F" w:rsidP="00885C7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26B0035C" w14:textId="06CEC798" w:rsidR="0028003F" w:rsidRPr="00C01416" w:rsidRDefault="00B271F0" w:rsidP="00885C72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Neonatologia</w:t>
          </w:r>
        </w:p>
      </w:tc>
      <w:tc>
        <w:tcPr>
          <w:tcW w:w="1087" w:type="dxa"/>
          <w:vAlign w:val="center"/>
        </w:tcPr>
        <w:p w14:paraId="497DA1FC" w14:textId="2EF3E1E0" w:rsidR="0028003F" w:rsidRPr="00B3202E" w:rsidRDefault="008A5D6C" w:rsidP="00885C72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11EE3DE8" w14:textId="77777777" w:rsidR="0028003F" w:rsidRPr="00885C72" w:rsidRDefault="0028003F" w:rsidP="00885C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C5"/>
    <w:multiLevelType w:val="hybridMultilevel"/>
    <w:tmpl w:val="5A68D27E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03023"/>
    <w:multiLevelType w:val="hybridMultilevel"/>
    <w:tmpl w:val="D7D832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922375"/>
    <w:multiLevelType w:val="hybridMultilevel"/>
    <w:tmpl w:val="E006FC48"/>
    <w:lvl w:ilvl="0" w:tplc="61DA6C4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355B71"/>
    <w:multiLevelType w:val="hybridMultilevel"/>
    <w:tmpl w:val="71568E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14B33"/>
    <w:multiLevelType w:val="hybridMultilevel"/>
    <w:tmpl w:val="33887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F5533"/>
    <w:multiLevelType w:val="hybridMultilevel"/>
    <w:tmpl w:val="B7D8764A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3A63D5"/>
    <w:multiLevelType w:val="hybridMultilevel"/>
    <w:tmpl w:val="4FEA1A5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EB4E96"/>
    <w:multiLevelType w:val="hybridMultilevel"/>
    <w:tmpl w:val="2AD23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4E70"/>
    <w:multiLevelType w:val="hybridMultilevel"/>
    <w:tmpl w:val="EBA23CF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3">
      <w:start w:val="1"/>
      <w:numFmt w:val="upp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DB4A350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300AD7"/>
    <w:multiLevelType w:val="hybridMultilevel"/>
    <w:tmpl w:val="23781DA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23A4BFD"/>
    <w:multiLevelType w:val="hybridMultilevel"/>
    <w:tmpl w:val="D37A8E1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965627"/>
    <w:multiLevelType w:val="hybridMultilevel"/>
    <w:tmpl w:val="59C2D2C6"/>
    <w:lvl w:ilvl="0" w:tplc="8FAC4A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F193A"/>
    <w:multiLevelType w:val="hybridMultilevel"/>
    <w:tmpl w:val="BFDCD1E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283B9F"/>
    <w:multiLevelType w:val="hybridMultilevel"/>
    <w:tmpl w:val="AC920DA4"/>
    <w:lvl w:ilvl="0" w:tplc="A22E53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AD40058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A39E8EBE">
      <w:start w:val="1"/>
      <w:numFmt w:val="upperLetter"/>
      <w:lvlText w:val="%7)"/>
      <w:lvlJc w:val="left"/>
      <w:pPr>
        <w:ind w:left="5040" w:hanging="360"/>
      </w:pPr>
      <w:rPr>
        <w:rFonts w:asciiTheme="minorHAnsi" w:eastAsiaTheme="minorHAnsi" w:hAnsiTheme="minorHAnsi" w:cstheme="minorBidi"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4B6"/>
    <w:multiLevelType w:val="hybridMultilevel"/>
    <w:tmpl w:val="A2FC235A"/>
    <w:lvl w:ilvl="0" w:tplc="773CDA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82D7C"/>
    <w:multiLevelType w:val="hybridMultilevel"/>
    <w:tmpl w:val="021C6D34"/>
    <w:lvl w:ilvl="0" w:tplc="DE227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30F86"/>
    <w:multiLevelType w:val="hybridMultilevel"/>
    <w:tmpl w:val="24CCF4A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56B9A"/>
    <w:multiLevelType w:val="hybridMultilevel"/>
    <w:tmpl w:val="799CD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27973"/>
    <w:multiLevelType w:val="hybridMultilevel"/>
    <w:tmpl w:val="F264651A"/>
    <w:lvl w:ilvl="0" w:tplc="04160017">
      <w:start w:val="1"/>
      <w:numFmt w:val="lowerLetter"/>
      <w:lvlText w:val="%1)"/>
      <w:lvlJc w:val="left"/>
      <w:pPr>
        <w:ind w:left="420" w:hanging="360"/>
      </w:pPr>
    </w:lvl>
    <w:lvl w:ilvl="1" w:tplc="EE7E1EF2">
      <w:numFmt w:val="bullet"/>
      <w:lvlText w:val="•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1B17F67"/>
    <w:multiLevelType w:val="hybridMultilevel"/>
    <w:tmpl w:val="C4929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47351"/>
    <w:multiLevelType w:val="hybridMultilevel"/>
    <w:tmpl w:val="BFDCD1E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787C3D"/>
    <w:multiLevelType w:val="hybridMultilevel"/>
    <w:tmpl w:val="EA86D0DC"/>
    <w:lvl w:ilvl="0" w:tplc="0416000F">
      <w:start w:val="1"/>
      <w:numFmt w:val="decimal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A61413"/>
    <w:multiLevelType w:val="hybridMultilevel"/>
    <w:tmpl w:val="A6A6E1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9052289"/>
    <w:multiLevelType w:val="hybridMultilevel"/>
    <w:tmpl w:val="289EC2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64479"/>
    <w:multiLevelType w:val="hybridMultilevel"/>
    <w:tmpl w:val="34889580"/>
    <w:lvl w:ilvl="0" w:tplc="A22E53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AD400580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E610D"/>
    <w:multiLevelType w:val="hybridMultilevel"/>
    <w:tmpl w:val="8C10B9CE"/>
    <w:lvl w:ilvl="0" w:tplc="089E1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42E563C"/>
    <w:multiLevelType w:val="hybridMultilevel"/>
    <w:tmpl w:val="24F4EF8E"/>
    <w:lvl w:ilvl="0" w:tplc="04160013">
      <w:start w:val="1"/>
      <w:numFmt w:val="upperRoman"/>
      <w:lvlText w:val="%1."/>
      <w:lvlJc w:val="right"/>
      <w:pPr>
        <w:ind w:left="768" w:hanging="360"/>
      </w:pPr>
    </w:lvl>
    <w:lvl w:ilvl="1" w:tplc="04160019" w:tentative="1">
      <w:start w:val="1"/>
      <w:numFmt w:val="lowerLetter"/>
      <w:lvlText w:val="%2."/>
      <w:lvlJc w:val="left"/>
      <w:pPr>
        <w:ind w:left="1488" w:hanging="360"/>
      </w:pPr>
    </w:lvl>
    <w:lvl w:ilvl="2" w:tplc="0416001B" w:tentative="1">
      <w:start w:val="1"/>
      <w:numFmt w:val="lowerRoman"/>
      <w:lvlText w:val="%3."/>
      <w:lvlJc w:val="right"/>
      <w:pPr>
        <w:ind w:left="2208" w:hanging="180"/>
      </w:pPr>
    </w:lvl>
    <w:lvl w:ilvl="3" w:tplc="0416000F" w:tentative="1">
      <w:start w:val="1"/>
      <w:numFmt w:val="decimal"/>
      <w:lvlText w:val="%4."/>
      <w:lvlJc w:val="left"/>
      <w:pPr>
        <w:ind w:left="2928" w:hanging="360"/>
      </w:pPr>
    </w:lvl>
    <w:lvl w:ilvl="4" w:tplc="04160019" w:tentative="1">
      <w:start w:val="1"/>
      <w:numFmt w:val="lowerLetter"/>
      <w:lvlText w:val="%5."/>
      <w:lvlJc w:val="left"/>
      <w:pPr>
        <w:ind w:left="3648" w:hanging="360"/>
      </w:pPr>
    </w:lvl>
    <w:lvl w:ilvl="5" w:tplc="0416001B" w:tentative="1">
      <w:start w:val="1"/>
      <w:numFmt w:val="lowerRoman"/>
      <w:lvlText w:val="%6."/>
      <w:lvlJc w:val="right"/>
      <w:pPr>
        <w:ind w:left="4368" w:hanging="180"/>
      </w:pPr>
    </w:lvl>
    <w:lvl w:ilvl="6" w:tplc="0416000F" w:tentative="1">
      <w:start w:val="1"/>
      <w:numFmt w:val="decimal"/>
      <w:lvlText w:val="%7."/>
      <w:lvlJc w:val="left"/>
      <w:pPr>
        <w:ind w:left="5088" w:hanging="360"/>
      </w:pPr>
    </w:lvl>
    <w:lvl w:ilvl="7" w:tplc="04160019" w:tentative="1">
      <w:start w:val="1"/>
      <w:numFmt w:val="lowerLetter"/>
      <w:lvlText w:val="%8."/>
      <w:lvlJc w:val="left"/>
      <w:pPr>
        <w:ind w:left="5808" w:hanging="360"/>
      </w:pPr>
    </w:lvl>
    <w:lvl w:ilvl="8" w:tplc="04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443151F8"/>
    <w:multiLevelType w:val="hybridMultilevel"/>
    <w:tmpl w:val="934EB3B8"/>
    <w:lvl w:ilvl="0" w:tplc="182C97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C723F"/>
    <w:multiLevelType w:val="hybridMultilevel"/>
    <w:tmpl w:val="33B2B5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EF405A"/>
    <w:multiLevelType w:val="hybridMultilevel"/>
    <w:tmpl w:val="E5A0E4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B3DEF"/>
    <w:multiLevelType w:val="hybridMultilevel"/>
    <w:tmpl w:val="5290BF3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0D46F2"/>
    <w:multiLevelType w:val="hybridMultilevel"/>
    <w:tmpl w:val="056AFA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844D2"/>
    <w:multiLevelType w:val="hybridMultilevel"/>
    <w:tmpl w:val="BA76EA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70869"/>
    <w:multiLevelType w:val="hybridMultilevel"/>
    <w:tmpl w:val="8810408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2226D"/>
    <w:multiLevelType w:val="hybridMultilevel"/>
    <w:tmpl w:val="E4D20E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3D4D"/>
    <w:multiLevelType w:val="hybridMultilevel"/>
    <w:tmpl w:val="D62E4C5C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6CFE147F"/>
    <w:multiLevelType w:val="hybridMultilevel"/>
    <w:tmpl w:val="E2325E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67FD9"/>
    <w:multiLevelType w:val="hybridMultilevel"/>
    <w:tmpl w:val="021C6D34"/>
    <w:lvl w:ilvl="0" w:tplc="DE227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E4B9F"/>
    <w:multiLevelType w:val="hybridMultilevel"/>
    <w:tmpl w:val="CEBCB5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D52E2"/>
    <w:multiLevelType w:val="hybridMultilevel"/>
    <w:tmpl w:val="F5B4A5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368A6"/>
    <w:multiLevelType w:val="multilevel"/>
    <w:tmpl w:val="01F8ED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35213"/>
    <w:multiLevelType w:val="hybridMultilevel"/>
    <w:tmpl w:val="021C6D34"/>
    <w:lvl w:ilvl="0" w:tplc="DE227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01DE9"/>
    <w:multiLevelType w:val="hybridMultilevel"/>
    <w:tmpl w:val="23A03D0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3">
      <w:start w:val="1"/>
      <w:numFmt w:val="upp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DB4A350E">
      <w:start w:val="1"/>
      <w:numFmt w:val="lowerLetter"/>
      <w:lvlText w:val="%7)"/>
      <w:lvlJc w:val="left"/>
      <w:pPr>
        <w:ind w:left="4680" w:hanging="36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FE35F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 w15:restartNumberingAfterBreak="0">
    <w:nsid w:val="7CE53010"/>
    <w:multiLevelType w:val="hybridMultilevel"/>
    <w:tmpl w:val="B570F8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F5E6E"/>
    <w:multiLevelType w:val="hybridMultilevel"/>
    <w:tmpl w:val="DF30EBFC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18"/>
  </w:num>
  <w:num w:numId="3">
    <w:abstractNumId w:val="34"/>
  </w:num>
  <w:num w:numId="4">
    <w:abstractNumId w:val="16"/>
  </w:num>
  <w:num w:numId="5">
    <w:abstractNumId w:val="17"/>
  </w:num>
  <w:num w:numId="6">
    <w:abstractNumId w:val="35"/>
  </w:num>
  <w:num w:numId="7">
    <w:abstractNumId w:val="19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4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0"/>
  </w:num>
  <w:num w:numId="15">
    <w:abstractNumId w:val="22"/>
  </w:num>
  <w:num w:numId="16">
    <w:abstractNumId w:val="42"/>
  </w:num>
  <w:num w:numId="17">
    <w:abstractNumId w:val="33"/>
  </w:num>
  <w:num w:numId="18">
    <w:abstractNumId w:val="27"/>
  </w:num>
  <w:num w:numId="19">
    <w:abstractNumId w:val="41"/>
  </w:num>
  <w:num w:numId="20">
    <w:abstractNumId w:val="14"/>
  </w:num>
  <w:num w:numId="21">
    <w:abstractNumId w:val="37"/>
  </w:num>
  <w:num w:numId="22">
    <w:abstractNumId w:val="15"/>
  </w:num>
  <w:num w:numId="23">
    <w:abstractNumId w:val="2"/>
  </w:num>
  <w:num w:numId="24">
    <w:abstractNumId w:val="11"/>
  </w:num>
  <w:num w:numId="25">
    <w:abstractNumId w:val="3"/>
  </w:num>
  <w:num w:numId="26">
    <w:abstractNumId w:val="20"/>
  </w:num>
  <w:num w:numId="27">
    <w:abstractNumId w:val="9"/>
  </w:num>
  <w:num w:numId="28">
    <w:abstractNumId w:val="12"/>
  </w:num>
  <w:num w:numId="29">
    <w:abstractNumId w:val="29"/>
  </w:num>
  <w:num w:numId="30">
    <w:abstractNumId w:val="8"/>
  </w:num>
  <w:num w:numId="31">
    <w:abstractNumId w:val="45"/>
  </w:num>
  <w:num w:numId="32">
    <w:abstractNumId w:val="6"/>
  </w:num>
  <w:num w:numId="33">
    <w:abstractNumId w:val="26"/>
  </w:num>
  <w:num w:numId="34">
    <w:abstractNumId w:val="5"/>
  </w:num>
  <w:num w:numId="35">
    <w:abstractNumId w:val="25"/>
  </w:num>
  <w:num w:numId="36">
    <w:abstractNumId w:val="0"/>
  </w:num>
  <w:num w:numId="37">
    <w:abstractNumId w:val="24"/>
  </w:num>
  <w:num w:numId="38">
    <w:abstractNumId w:val="39"/>
  </w:num>
  <w:num w:numId="39">
    <w:abstractNumId w:val="44"/>
  </w:num>
  <w:num w:numId="40">
    <w:abstractNumId w:val="23"/>
  </w:num>
  <w:num w:numId="41">
    <w:abstractNumId w:val="31"/>
  </w:num>
  <w:num w:numId="42">
    <w:abstractNumId w:val="13"/>
  </w:num>
  <w:num w:numId="43">
    <w:abstractNumId w:val="36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  <w:num w:numId="46">
    <w:abstractNumId w:val="43"/>
  </w:num>
  <w:num w:numId="47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95"/>
    <w:rsid w:val="000250DC"/>
    <w:rsid w:val="00026CD2"/>
    <w:rsid w:val="00042F03"/>
    <w:rsid w:val="00044638"/>
    <w:rsid w:val="000475CA"/>
    <w:rsid w:val="00052A30"/>
    <w:rsid w:val="00053113"/>
    <w:rsid w:val="00055C8B"/>
    <w:rsid w:val="00057ACF"/>
    <w:rsid w:val="00072996"/>
    <w:rsid w:val="000747B6"/>
    <w:rsid w:val="000A13BD"/>
    <w:rsid w:val="000A5027"/>
    <w:rsid w:val="000A56AC"/>
    <w:rsid w:val="000A606C"/>
    <w:rsid w:val="000B082F"/>
    <w:rsid w:val="000B3DAB"/>
    <w:rsid w:val="000B516D"/>
    <w:rsid w:val="000C67BC"/>
    <w:rsid w:val="000D3006"/>
    <w:rsid w:val="000D530C"/>
    <w:rsid w:val="000F0B69"/>
    <w:rsid w:val="000F4663"/>
    <w:rsid w:val="000F55F2"/>
    <w:rsid w:val="00101702"/>
    <w:rsid w:val="00103353"/>
    <w:rsid w:val="001039EB"/>
    <w:rsid w:val="00104C61"/>
    <w:rsid w:val="001062EF"/>
    <w:rsid w:val="00106F1D"/>
    <w:rsid w:val="00107F1B"/>
    <w:rsid w:val="00113B3B"/>
    <w:rsid w:val="0012247C"/>
    <w:rsid w:val="00126773"/>
    <w:rsid w:val="00126E68"/>
    <w:rsid w:val="00140841"/>
    <w:rsid w:val="00142271"/>
    <w:rsid w:val="0015214D"/>
    <w:rsid w:val="0016139A"/>
    <w:rsid w:val="00161982"/>
    <w:rsid w:val="001633BE"/>
    <w:rsid w:val="00163531"/>
    <w:rsid w:val="00165E18"/>
    <w:rsid w:val="0017357D"/>
    <w:rsid w:val="001765FA"/>
    <w:rsid w:val="00180864"/>
    <w:rsid w:val="0018523A"/>
    <w:rsid w:val="00192639"/>
    <w:rsid w:val="0019665B"/>
    <w:rsid w:val="001B275B"/>
    <w:rsid w:val="001C50AE"/>
    <w:rsid w:val="001D722E"/>
    <w:rsid w:val="001E1B5A"/>
    <w:rsid w:val="001E1EF3"/>
    <w:rsid w:val="001E67E0"/>
    <w:rsid w:val="0021362C"/>
    <w:rsid w:val="0022069C"/>
    <w:rsid w:val="00221148"/>
    <w:rsid w:val="00227F91"/>
    <w:rsid w:val="00233D4D"/>
    <w:rsid w:val="00244B0C"/>
    <w:rsid w:val="002477AC"/>
    <w:rsid w:val="002500B0"/>
    <w:rsid w:val="00251B78"/>
    <w:rsid w:val="00253223"/>
    <w:rsid w:val="00257678"/>
    <w:rsid w:val="0025782E"/>
    <w:rsid w:val="00257CC2"/>
    <w:rsid w:val="00263DE6"/>
    <w:rsid w:val="00276A69"/>
    <w:rsid w:val="0028003F"/>
    <w:rsid w:val="0028189A"/>
    <w:rsid w:val="00284B5B"/>
    <w:rsid w:val="00292FF7"/>
    <w:rsid w:val="00293055"/>
    <w:rsid w:val="00293A02"/>
    <w:rsid w:val="002A0064"/>
    <w:rsid w:val="002A0520"/>
    <w:rsid w:val="002B17A5"/>
    <w:rsid w:val="002D7856"/>
    <w:rsid w:val="002F3DC3"/>
    <w:rsid w:val="002F3E6D"/>
    <w:rsid w:val="002F5035"/>
    <w:rsid w:val="002F6255"/>
    <w:rsid w:val="002F78D2"/>
    <w:rsid w:val="002F7A48"/>
    <w:rsid w:val="002F7B05"/>
    <w:rsid w:val="0030047F"/>
    <w:rsid w:val="003004AF"/>
    <w:rsid w:val="003051B1"/>
    <w:rsid w:val="00332B8D"/>
    <w:rsid w:val="0035792E"/>
    <w:rsid w:val="003616EB"/>
    <w:rsid w:val="0036648F"/>
    <w:rsid w:val="003802FC"/>
    <w:rsid w:val="0038648B"/>
    <w:rsid w:val="00386811"/>
    <w:rsid w:val="00387658"/>
    <w:rsid w:val="003A10D4"/>
    <w:rsid w:val="003A1CDA"/>
    <w:rsid w:val="003A2B40"/>
    <w:rsid w:val="003B0F16"/>
    <w:rsid w:val="003B3D3A"/>
    <w:rsid w:val="003C4135"/>
    <w:rsid w:val="003C482B"/>
    <w:rsid w:val="003D24D9"/>
    <w:rsid w:val="003E4A8C"/>
    <w:rsid w:val="003E5795"/>
    <w:rsid w:val="003F493F"/>
    <w:rsid w:val="003F49CB"/>
    <w:rsid w:val="00401EBD"/>
    <w:rsid w:val="004037DA"/>
    <w:rsid w:val="00410CCA"/>
    <w:rsid w:val="0041547F"/>
    <w:rsid w:val="00420757"/>
    <w:rsid w:val="004213F0"/>
    <w:rsid w:val="00422C80"/>
    <w:rsid w:val="004274AB"/>
    <w:rsid w:val="00435C8E"/>
    <w:rsid w:val="00441972"/>
    <w:rsid w:val="00444CEE"/>
    <w:rsid w:val="0044654E"/>
    <w:rsid w:val="004469C9"/>
    <w:rsid w:val="00447178"/>
    <w:rsid w:val="004579DF"/>
    <w:rsid w:val="0046647F"/>
    <w:rsid w:val="00466F1B"/>
    <w:rsid w:val="00471FAA"/>
    <w:rsid w:val="004723EA"/>
    <w:rsid w:val="00472AED"/>
    <w:rsid w:val="00477A35"/>
    <w:rsid w:val="0048218B"/>
    <w:rsid w:val="00485E7A"/>
    <w:rsid w:val="004A38F7"/>
    <w:rsid w:val="004A6AD9"/>
    <w:rsid w:val="004B0ACE"/>
    <w:rsid w:val="004B5308"/>
    <w:rsid w:val="004B6B5E"/>
    <w:rsid w:val="004C129A"/>
    <w:rsid w:val="004C7867"/>
    <w:rsid w:val="004C7C71"/>
    <w:rsid w:val="004D1960"/>
    <w:rsid w:val="004D2CAE"/>
    <w:rsid w:val="004D2DE8"/>
    <w:rsid w:val="004D7E1E"/>
    <w:rsid w:val="004E57E2"/>
    <w:rsid w:val="004F4798"/>
    <w:rsid w:val="004F4B0D"/>
    <w:rsid w:val="0050273A"/>
    <w:rsid w:val="005074E8"/>
    <w:rsid w:val="00516046"/>
    <w:rsid w:val="00521D13"/>
    <w:rsid w:val="00522ABC"/>
    <w:rsid w:val="00530A23"/>
    <w:rsid w:val="005354D4"/>
    <w:rsid w:val="00542B7D"/>
    <w:rsid w:val="00545531"/>
    <w:rsid w:val="00547A0D"/>
    <w:rsid w:val="0056305E"/>
    <w:rsid w:val="005718BD"/>
    <w:rsid w:val="00582325"/>
    <w:rsid w:val="005977C3"/>
    <w:rsid w:val="005A15D7"/>
    <w:rsid w:val="005A77BD"/>
    <w:rsid w:val="005B28EF"/>
    <w:rsid w:val="005B3F61"/>
    <w:rsid w:val="005D09AC"/>
    <w:rsid w:val="005D0CB3"/>
    <w:rsid w:val="005D1148"/>
    <w:rsid w:val="005D61A6"/>
    <w:rsid w:val="005E00D0"/>
    <w:rsid w:val="005E5B5C"/>
    <w:rsid w:val="006035B4"/>
    <w:rsid w:val="00605123"/>
    <w:rsid w:val="006118D9"/>
    <w:rsid w:val="00626BD0"/>
    <w:rsid w:val="00626DAD"/>
    <w:rsid w:val="006411E3"/>
    <w:rsid w:val="0065175E"/>
    <w:rsid w:val="00660F3F"/>
    <w:rsid w:val="00661450"/>
    <w:rsid w:val="00661504"/>
    <w:rsid w:val="00662DCD"/>
    <w:rsid w:val="0067039E"/>
    <w:rsid w:val="00676E20"/>
    <w:rsid w:val="006810D4"/>
    <w:rsid w:val="0069584B"/>
    <w:rsid w:val="006A7A3E"/>
    <w:rsid w:val="006B22F9"/>
    <w:rsid w:val="006B4695"/>
    <w:rsid w:val="006C117B"/>
    <w:rsid w:val="006D008D"/>
    <w:rsid w:val="006D5FDA"/>
    <w:rsid w:val="006E740C"/>
    <w:rsid w:val="006F027A"/>
    <w:rsid w:val="006F0341"/>
    <w:rsid w:val="006F1AA8"/>
    <w:rsid w:val="006F3B35"/>
    <w:rsid w:val="006F68CD"/>
    <w:rsid w:val="00704001"/>
    <w:rsid w:val="00711E3B"/>
    <w:rsid w:val="00717FF2"/>
    <w:rsid w:val="00724C6B"/>
    <w:rsid w:val="007276E4"/>
    <w:rsid w:val="0074165D"/>
    <w:rsid w:val="007477D8"/>
    <w:rsid w:val="00750554"/>
    <w:rsid w:val="0075409E"/>
    <w:rsid w:val="00756413"/>
    <w:rsid w:val="0076537D"/>
    <w:rsid w:val="00767D33"/>
    <w:rsid w:val="00791D39"/>
    <w:rsid w:val="00792E3B"/>
    <w:rsid w:val="00793E08"/>
    <w:rsid w:val="00794183"/>
    <w:rsid w:val="00796ED5"/>
    <w:rsid w:val="007A7969"/>
    <w:rsid w:val="007B52A2"/>
    <w:rsid w:val="007C1FFC"/>
    <w:rsid w:val="007C79B7"/>
    <w:rsid w:val="007C7BA3"/>
    <w:rsid w:val="00800B87"/>
    <w:rsid w:val="00801460"/>
    <w:rsid w:val="0081238D"/>
    <w:rsid w:val="00826B93"/>
    <w:rsid w:val="00842A4B"/>
    <w:rsid w:val="00842ED6"/>
    <w:rsid w:val="00853A88"/>
    <w:rsid w:val="00853D6A"/>
    <w:rsid w:val="00857A4A"/>
    <w:rsid w:val="0087034E"/>
    <w:rsid w:val="008800C5"/>
    <w:rsid w:val="00885A84"/>
    <w:rsid w:val="00885C72"/>
    <w:rsid w:val="00887444"/>
    <w:rsid w:val="008A57B9"/>
    <w:rsid w:val="008A5D6C"/>
    <w:rsid w:val="008B2562"/>
    <w:rsid w:val="008B2DAF"/>
    <w:rsid w:val="008B3345"/>
    <w:rsid w:val="008C0C32"/>
    <w:rsid w:val="008C5733"/>
    <w:rsid w:val="008F13A7"/>
    <w:rsid w:val="00902FDA"/>
    <w:rsid w:val="00914C54"/>
    <w:rsid w:val="00936009"/>
    <w:rsid w:val="00943257"/>
    <w:rsid w:val="00947E8F"/>
    <w:rsid w:val="0095004F"/>
    <w:rsid w:val="009509EB"/>
    <w:rsid w:val="009618DF"/>
    <w:rsid w:val="00964B50"/>
    <w:rsid w:val="00971246"/>
    <w:rsid w:val="00973F54"/>
    <w:rsid w:val="0098019D"/>
    <w:rsid w:val="0098135F"/>
    <w:rsid w:val="009871F0"/>
    <w:rsid w:val="00990111"/>
    <w:rsid w:val="009903B4"/>
    <w:rsid w:val="009A0F1B"/>
    <w:rsid w:val="009A3F76"/>
    <w:rsid w:val="009B1E7F"/>
    <w:rsid w:val="009B3ADA"/>
    <w:rsid w:val="009B4DD4"/>
    <w:rsid w:val="009C6161"/>
    <w:rsid w:val="009C7395"/>
    <w:rsid w:val="009C7668"/>
    <w:rsid w:val="009D024A"/>
    <w:rsid w:val="009D53DF"/>
    <w:rsid w:val="009E2C58"/>
    <w:rsid w:val="009E6A1E"/>
    <w:rsid w:val="00A03338"/>
    <w:rsid w:val="00A059D0"/>
    <w:rsid w:val="00A210CA"/>
    <w:rsid w:val="00A2197C"/>
    <w:rsid w:val="00A21EAB"/>
    <w:rsid w:val="00A23D56"/>
    <w:rsid w:val="00A2596A"/>
    <w:rsid w:val="00A30171"/>
    <w:rsid w:val="00A30302"/>
    <w:rsid w:val="00A33E63"/>
    <w:rsid w:val="00A358EB"/>
    <w:rsid w:val="00A51814"/>
    <w:rsid w:val="00A55E6A"/>
    <w:rsid w:val="00A563DC"/>
    <w:rsid w:val="00A56499"/>
    <w:rsid w:val="00A571E2"/>
    <w:rsid w:val="00A57D51"/>
    <w:rsid w:val="00A6276D"/>
    <w:rsid w:val="00A6470E"/>
    <w:rsid w:val="00A7450B"/>
    <w:rsid w:val="00A7518B"/>
    <w:rsid w:val="00A7596D"/>
    <w:rsid w:val="00A77FC5"/>
    <w:rsid w:val="00A90BC8"/>
    <w:rsid w:val="00A974F4"/>
    <w:rsid w:val="00AB10A3"/>
    <w:rsid w:val="00AB75BC"/>
    <w:rsid w:val="00AC0A0B"/>
    <w:rsid w:val="00AD544B"/>
    <w:rsid w:val="00AD7568"/>
    <w:rsid w:val="00AF7EDF"/>
    <w:rsid w:val="00B07648"/>
    <w:rsid w:val="00B271F0"/>
    <w:rsid w:val="00B4002B"/>
    <w:rsid w:val="00B56616"/>
    <w:rsid w:val="00B56978"/>
    <w:rsid w:val="00B61263"/>
    <w:rsid w:val="00B61C69"/>
    <w:rsid w:val="00B665EB"/>
    <w:rsid w:val="00B7523A"/>
    <w:rsid w:val="00B8351B"/>
    <w:rsid w:val="00B90B03"/>
    <w:rsid w:val="00BA1677"/>
    <w:rsid w:val="00BA5AA3"/>
    <w:rsid w:val="00BA6026"/>
    <w:rsid w:val="00BA6764"/>
    <w:rsid w:val="00BA6A9D"/>
    <w:rsid w:val="00BC3778"/>
    <w:rsid w:val="00BC537F"/>
    <w:rsid w:val="00BD47F0"/>
    <w:rsid w:val="00BD56F7"/>
    <w:rsid w:val="00BE0195"/>
    <w:rsid w:val="00BE03EE"/>
    <w:rsid w:val="00BE0733"/>
    <w:rsid w:val="00BF537B"/>
    <w:rsid w:val="00C06C9A"/>
    <w:rsid w:val="00C4366E"/>
    <w:rsid w:val="00C47A1F"/>
    <w:rsid w:val="00C613A1"/>
    <w:rsid w:val="00C61793"/>
    <w:rsid w:val="00C61D9F"/>
    <w:rsid w:val="00C62162"/>
    <w:rsid w:val="00C66BED"/>
    <w:rsid w:val="00C66FF4"/>
    <w:rsid w:val="00C7155F"/>
    <w:rsid w:val="00C75B61"/>
    <w:rsid w:val="00C76435"/>
    <w:rsid w:val="00C841F7"/>
    <w:rsid w:val="00C87E86"/>
    <w:rsid w:val="00C97CFA"/>
    <w:rsid w:val="00CA03ED"/>
    <w:rsid w:val="00CA333A"/>
    <w:rsid w:val="00CA589D"/>
    <w:rsid w:val="00CA6031"/>
    <w:rsid w:val="00CB54E3"/>
    <w:rsid w:val="00CC22C0"/>
    <w:rsid w:val="00CC69BF"/>
    <w:rsid w:val="00CD1376"/>
    <w:rsid w:val="00CD3417"/>
    <w:rsid w:val="00CD34FA"/>
    <w:rsid w:val="00CD5006"/>
    <w:rsid w:val="00CD5128"/>
    <w:rsid w:val="00CE3212"/>
    <w:rsid w:val="00CE3560"/>
    <w:rsid w:val="00CE47A9"/>
    <w:rsid w:val="00CF611F"/>
    <w:rsid w:val="00D128DA"/>
    <w:rsid w:val="00D15B8B"/>
    <w:rsid w:val="00D42235"/>
    <w:rsid w:val="00D42A2D"/>
    <w:rsid w:val="00D43D1B"/>
    <w:rsid w:val="00D5489C"/>
    <w:rsid w:val="00D55FCA"/>
    <w:rsid w:val="00D56ECC"/>
    <w:rsid w:val="00D576DD"/>
    <w:rsid w:val="00D618CB"/>
    <w:rsid w:val="00D64B7E"/>
    <w:rsid w:val="00D76685"/>
    <w:rsid w:val="00D77A7C"/>
    <w:rsid w:val="00D809C9"/>
    <w:rsid w:val="00D85C88"/>
    <w:rsid w:val="00D87497"/>
    <w:rsid w:val="00D87710"/>
    <w:rsid w:val="00D94558"/>
    <w:rsid w:val="00DA7743"/>
    <w:rsid w:val="00DB4842"/>
    <w:rsid w:val="00DB7C3C"/>
    <w:rsid w:val="00DD3D6A"/>
    <w:rsid w:val="00DD65C3"/>
    <w:rsid w:val="00DD729A"/>
    <w:rsid w:val="00DF4A3E"/>
    <w:rsid w:val="00DF4EC4"/>
    <w:rsid w:val="00E02133"/>
    <w:rsid w:val="00E10250"/>
    <w:rsid w:val="00E110AB"/>
    <w:rsid w:val="00E13F4D"/>
    <w:rsid w:val="00E15415"/>
    <w:rsid w:val="00E2030A"/>
    <w:rsid w:val="00E27E1C"/>
    <w:rsid w:val="00E372E0"/>
    <w:rsid w:val="00E42263"/>
    <w:rsid w:val="00E62C80"/>
    <w:rsid w:val="00E750E9"/>
    <w:rsid w:val="00E77CC9"/>
    <w:rsid w:val="00E83732"/>
    <w:rsid w:val="00E83AFD"/>
    <w:rsid w:val="00E92DD9"/>
    <w:rsid w:val="00EA38F6"/>
    <w:rsid w:val="00EA4246"/>
    <w:rsid w:val="00EB323E"/>
    <w:rsid w:val="00EC3491"/>
    <w:rsid w:val="00ED54E7"/>
    <w:rsid w:val="00EE1CBB"/>
    <w:rsid w:val="00EF082E"/>
    <w:rsid w:val="00EF7C86"/>
    <w:rsid w:val="00F011E2"/>
    <w:rsid w:val="00F01CAC"/>
    <w:rsid w:val="00F055EF"/>
    <w:rsid w:val="00F116AC"/>
    <w:rsid w:val="00F17806"/>
    <w:rsid w:val="00F513F6"/>
    <w:rsid w:val="00F54B98"/>
    <w:rsid w:val="00F655B6"/>
    <w:rsid w:val="00F70110"/>
    <w:rsid w:val="00F741C7"/>
    <w:rsid w:val="00F74442"/>
    <w:rsid w:val="00F8072D"/>
    <w:rsid w:val="00F80BEB"/>
    <w:rsid w:val="00F91795"/>
    <w:rsid w:val="00FB691B"/>
    <w:rsid w:val="00FE3579"/>
    <w:rsid w:val="00FE3927"/>
    <w:rsid w:val="00FF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0C882"/>
  <w15:chartTrackingRefBased/>
  <w15:docId w15:val="{9992362A-B3DB-4D18-B59C-20528203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13"/>
  </w:style>
  <w:style w:type="paragraph" w:styleId="Ttulo5">
    <w:name w:val="heading 5"/>
    <w:basedOn w:val="Normal"/>
    <w:link w:val="Ttulo5Char"/>
    <w:uiPriority w:val="9"/>
    <w:qFormat/>
    <w:rsid w:val="00E13F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C72"/>
  </w:style>
  <w:style w:type="paragraph" w:styleId="Rodap">
    <w:name w:val="footer"/>
    <w:basedOn w:val="Normal"/>
    <w:link w:val="RodapChar"/>
    <w:uiPriority w:val="99"/>
    <w:unhideWhenUsed/>
    <w:rsid w:val="00885C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C72"/>
  </w:style>
  <w:style w:type="table" w:styleId="Tabelacomgrade">
    <w:name w:val="Table Grid"/>
    <w:basedOn w:val="Tabelanormal"/>
    <w:uiPriority w:val="39"/>
    <w:rsid w:val="0088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85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616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16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16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16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16E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6EB"/>
    <w:rPr>
      <w:rFonts w:ascii="Segoe UI" w:hAnsi="Segoe UI" w:cs="Segoe UI"/>
      <w:sz w:val="18"/>
      <w:szCs w:val="18"/>
    </w:rPr>
  </w:style>
  <w:style w:type="character" w:customStyle="1" w:styleId="highwire-citation-authors">
    <w:name w:val="highwire-citation-authors"/>
    <w:basedOn w:val="Fontepargpadro"/>
    <w:rsid w:val="0067039E"/>
  </w:style>
  <w:style w:type="character" w:customStyle="1" w:styleId="highwire-citation-author">
    <w:name w:val="highwire-citation-author"/>
    <w:basedOn w:val="Fontepargpadro"/>
    <w:rsid w:val="0067039E"/>
  </w:style>
  <w:style w:type="character" w:customStyle="1" w:styleId="nlm-given-names">
    <w:name w:val="nlm-given-names"/>
    <w:basedOn w:val="Fontepargpadro"/>
    <w:rsid w:val="0067039E"/>
  </w:style>
  <w:style w:type="character" w:customStyle="1" w:styleId="nlm-surname">
    <w:name w:val="nlm-surname"/>
    <w:basedOn w:val="Fontepargpadro"/>
    <w:rsid w:val="0067039E"/>
  </w:style>
  <w:style w:type="character" w:customStyle="1" w:styleId="highwire-cite-metadata-journal">
    <w:name w:val="highwire-cite-metadata-journal"/>
    <w:basedOn w:val="Fontepargpadro"/>
    <w:rsid w:val="0067039E"/>
  </w:style>
  <w:style w:type="character" w:customStyle="1" w:styleId="highwire-cite-metadata-date">
    <w:name w:val="highwire-cite-metadata-date"/>
    <w:basedOn w:val="Fontepargpadro"/>
    <w:rsid w:val="0067039E"/>
  </w:style>
  <w:style w:type="character" w:customStyle="1" w:styleId="highwire-cite-metadata-volume">
    <w:name w:val="highwire-cite-metadata-volume"/>
    <w:basedOn w:val="Fontepargpadro"/>
    <w:rsid w:val="0067039E"/>
  </w:style>
  <w:style w:type="character" w:customStyle="1" w:styleId="highwire-cite-metadata-issue">
    <w:name w:val="highwire-cite-metadata-issue"/>
    <w:basedOn w:val="Fontepargpadro"/>
    <w:rsid w:val="0067039E"/>
  </w:style>
  <w:style w:type="character" w:customStyle="1" w:styleId="highwire-cite-metadata-pages">
    <w:name w:val="highwire-cite-metadata-pages"/>
    <w:basedOn w:val="Fontepargpadro"/>
    <w:rsid w:val="0067039E"/>
  </w:style>
  <w:style w:type="character" w:customStyle="1" w:styleId="highwire-cite-metadata-doi">
    <w:name w:val="highwire-cite-metadata-doi"/>
    <w:basedOn w:val="Fontepargpadro"/>
    <w:rsid w:val="0067039E"/>
  </w:style>
  <w:style w:type="character" w:customStyle="1" w:styleId="label">
    <w:name w:val="label"/>
    <w:basedOn w:val="Fontepargpadro"/>
    <w:rsid w:val="0067039E"/>
  </w:style>
  <w:style w:type="paragraph" w:styleId="NormalWeb">
    <w:name w:val="Normal (Web)"/>
    <w:basedOn w:val="Normal"/>
    <w:uiPriority w:val="99"/>
    <w:semiHidden/>
    <w:unhideWhenUsed/>
    <w:rsid w:val="002D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D756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D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D7568"/>
  </w:style>
  <w:style w:type="character" w:customStyle="1" w:styleId="apple-converted-space">
    <w:name w:val="apple-converted-space"/>
    <w:basedOn w:val="Fontepargpadro"/>
    <w:rsid w:val="00AD7568"/>
  </w:style>
  <w:style w:type="character" w:customStyle="1" w:styleId="A3">
    <w:name w:val="A3"/>
    <w:uiPriority w:val="99"/>
    <w:rsid w:val="003F493F"/>
    <w:rPr>
      <w:rFonts w:cs="News Gothic"/>
      <w:color w:val="000000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BC3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39"/>
    <w:rsid w:val="000A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E13F4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Millena Oliveira</dc:creator>
  <cp:keywords/>
  <dc:description/>
  <cp:lastModifiedBy>Lara Rangel Albuquerque Melo</cp:lastModifiedBy>
  <cp:revision>4</cp:revision>
  <cp:lastPrinted>2023-11-22T10:52:00Z</cp:lastPrinted>
  <dcterms:created xsi:type="dcterms:W3CDTF">2023-11-22T10:52:00Z</dcterms:created>
  <dcterms:modified xsi:type="dcterms:W3CDTF">2024-04-17T13:59:00Z</dcterms:modified>
</cp:coreProperties>
</file>