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1B4D68" w14:paraId="3A77DD99" w14:textId="77777777" w:rsidTr="001B4D68">
        <w:tc>
          <w:tcPr>
            <w:tcW w:w="9061" w:type="dxa"/>
            <w:gridSpan w:val="2"/>
            <w:shd w:val="clear" w:color="auto" w:fill="E7E6E6" w:themeFill="background2"/>
          </w:tcPr>
          <w:p w14:paraId="514AB7BE" w14:textId="37F531CC" w:rsidR="001B4D68" w:rsidRPr="001B4D68" w:rsidRDefault="001B4D68" w:rsidP="001B4D68">
            <w:pPr>
              <w:spacing w:after="0" w:line="240" w:lineRule="auto"/>
              <w:jc w:val="center"/>
            </w:pPr>
            <w:r>
              <w:t>DISTRIBUIÇÃO DE TAREFAS</w:t>
            </w:r>
          </w:p>
        </w:tc>
      </w:tr>
      <w:tr w:rsidR="00554880" w14:paraId="5119B37F" w14:textId="77777777" w:rsidTr="00633ECF">
        <w:tc>
          <w:tcPr>
            <w:tcW w:w="1980" w:type="dxa"/>
            <w:vMerge w:val="restart"/>
          </w:tcPr>
          <w:p w14:paraId="350CF8C1" w14:textId="77777777" w:rsidR="00554880" w:rsidRDefault="00554880" w:rsidP="002A3568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OBSTETRA</w:t>
            </w:r>
          </w:p>
          <w:p w14:paraId="237D0DCD" w14:textId="5B4C5858" w:rsidR="00554880" w:rsidRDefault="00554880" w:rsidP="002A3568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(pré-natal)</w:t>
            </w:r>
          </w:p>
        </w:tc>
        <w:tc>
          <w:tcPr>
            <w:tcW w:w="7081" w:type="dxa"/>
          </w:tcPr>
          <w:p w14:paraId="0F873570" w14:textId="45A29BEA" w:rsidR="00554880" w:rsidRPr="00554880" w:rsidRDefault="00554880" w:rsidP="002B605B">
            <w:pPr>
              <w:pStyle w:val="PargrafodaLista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Recomendamos a busca ativa de infecção materna pelo CMV durante a gestação: solicitar sempre na primeira consulta do pré-natal e repetir </w:t>
            </w:r>
            <w:r w:rsidR="002B605B" w:rsidRPr="00724191">
              <w:rPr>
                <w:rFonts w:cs="Calibri"/>
                <w:color w:val="000000" w:themeColor="text1"/>
              </w:rPr>
              <w:t>MENSALMENTE</w:t>
            </w:r>
            <w:r>
              <w:rPr>
                <w:rFonts w:cs="Calibri"/>
              </w:rPr>
              <w:t xml:space="preserve"> nas pacientes negativas (susceptíveis), conforme recomendação da Febrasgo</w:t>
            </w:r>
            <w:r>
              <w:rPr>
                <w:rFonts w:cs="Calibri"/>
                <w:vertAlign w:val="superscript"/>
              </w:rPr>
              <w:t>1</w:t>
            </w:r>
          </w:p>
        </w:tc>
      </w:tr>
      <w:tr w:rsidR="00554880" w14:paraId="6CA1D88D" w14:textId="77777777" w:rsidTr="00633ECF">
        <w:tc>
          <w:tcPr>
            <w:tcW w:w="1980" w:type="dxa"/>
            <w:vMerge/>
          </w:tcPr>
          <w:p w14:paraId="50EA89E7" w14:textId="77777777" w:rsidR="00554880" w:rsidRDefault="00554880" w:rsidP="00554880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081" w:type="dxa"/>
          </w:tcPr>
          <w:p w14:paraId="50B937E3" w14:textId="551067D2" w:rsidR="00554880" w:rsidRDefault="00554880" w:rsidP="00283D30">
            <w:pPr>
              <w:pStyle w:val="PargrafodaLista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cs="Calibri"/>
              </w:rPr>
            </w:pPr>
            <w:r w:rsidRPr="0034007C">
              <w:rPr>
                <w:rFonts w:cs="Calibri"/>
              </w:rPr>
              <w:t>Confi</w:t>
            </w:r>
            <w:r w:rsidR="00724191">
              <w:rPr>
                <w:rFonts w:cs="Calibri"/>
              </w:rPr>
              <w:t xml:space="preserve">rmar infecção gestacional: </w:t>
            </w:r>
            <w:proofErr w:type="spellStart"/>
            <w:r w:rsidR="00724191">
              <w:rPr>
                <w:rFonts w:cs="Calibri"/>
              </w:rPr>
              <w:t>IgM</w:t>
            </w:r>
            <w:proofErr w:type="spellEnd"/>
            <w:r w:rsidR="00724191">
              <w:rPr>
                <w:rFonts w:cs="Calibri"/>
              </w:rPr>
              <w:t xml:space="preserve"> positiva</w:t>
            </w:r>
            <w:r w:rsidRPr="0034007C">
              <w:rPr>
                <w:rFonts w:cs="Calibri"/>
              </w:rPr>
              <w:t xml:space="preserve"> ou </w:t>
            </w:r>
            <w:proofErr w:type="spellStart"/>
            <w:r w:rsidRPr="0034007C">
              <w:rPr>
                <w:rFonts w:cs="Calibri"/>
              </w:rPr>
              <w:t>soroconversão</w:t>
            </w:r>
            <w:proofErr w:type="spellEnd"/>
            <w:r w:rsidRPr="0034007C">
              <w:rPr>
                <w:rFonts w:cs="Calibri"/>
              </w:rPr>
              <w:t xml:space="preserve"> </w:t>
            </w:r>
            <w:proofErr w:type="spellStart"/>
            <w:r w:rsidRPr="0034007C">
              <w:rPr>
                <w:rFonts w:cs="Calibri"/>
              </w:rPr>
              <w:t>IgG</w:t>
            </w:r>
            <w:proofErr w:type="spellEnd"/>
            <w:r w:rsidR="00247B3E">
              <w:rPr>
                <w:rFonts w:cs="Calibri"/>
              </w:rPr>
              <w:t xml:space="preserve"> </w:t>
            </w:r>
            <w:r w:rsidRPr="0034007C">
              <w:rPr>
                <w:rFonts w:cs="Calibri"/>
              </w:rPr>
              <w:t>+ durante a gestação (em gestante previamente negativa)</w:t>
            </w:r>
          </w:p>
        </w:tc>
      </w:tr>
      <w:tr w:rsidR="00554880" w14:paraId="77D28CE4" w14:textId="77777777" w:rsidTr="00633ECF">
        <w:tc>
          <w:tcPr>
            <w:tcW w:w="1980" w:type="dxa"/>
            <w:vMerge/>
          </w:tcPr>
          <w:p w14:paraId="096A4819" w14:textId="77777777" w:rsidR="00554880" w:rsidRDefault="00554880" w:rsidP="00554880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081" w:type="dxa"/>
          </w:tcPr>
          <w:p w14:paraId="4D5CAFD6" w14:textId="050C0236" w:rsidR="00554880" w:rsidRDefault="00554880" w:rsidP="00283D30">
            <w:pPr>
              <w:pStyle w:val="PargrafodaLista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cs="Calibri"/>
              </w:rPr>
            </w:pPr>
            <w:r w:rsidRPr="0034007C">
              <w:rPr>
                <w:rFonts w:cs="Calibri"/>
              </w:rPr>
              <w:t xml:space="preserve">Suspeitar de reativação: aumento dos títulos de anticorpos </w:t>
            </w:r>
            <w:proofErr w:type="spellStart"/>
            <w:r w:rsidRPr="0034007C">
              <w:rPr>
                <w:rFonts w:cs="Calibri"/>
              </w:rPr>
              <w:t>IgG</w:t>
            </w:r>
            <w:proofErr w:type="spellEnd"/>
          </w:p>
        </w:tc>
      </w:tr>
      <w:tr w:rsidR="00554880" w14:paraId="460ECC47" w14:textId="77777777" w:rsidTr="00554880">
        <w:trPr>
          <w:trHeight w:val="532"/>
        </w:trPr>
        <w:tc>
          <w:tcPr>
            <w:tcW w:w="1980" w:type="dxa"/>
            <w:vMerge/>
          </w:tcPr>
          <w:p w14:paraId="66EFD31B" w14:textId="77777777" w:rsidR="00554880" w:rsidRDefault="00554880" w:rsidP="00554880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081" w:type="dxa"/>
          </w:tcPr>
          <w:p w14:paraId="1982B2B7" w14:textId="6AFF6EB0" w:rsidR="00554880" w:rsidRPr="00724191" w:rsidRDefault="00724191" w:rsidP="00724191">
            <w:pPr>
              <w:pStyle w:val="PargrafodaLista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cs="Calibri"/>
                <w:b/>
              </w:rPr>
            </w:pPr>
            <w:r w:rsidRPr="00724191">
              <w:rPr>
                <w:rFonts w:cs="Calibri"/>
                <w:b/>
                <w:color w:val="000000" w:themeColor="text1"/>
              </w:rPr>
              <w:t>Nos casos de infecção durante a gestação com comprometimento do feto, e</w:t>
            </w:r>
            <w:r w:rsidR="00247B3E" w:rsidRPr="00724191">
              <w:rPr>
                <w:rFonts w:cs="Calibri"/>
                <w:b/>
                <w:color w:val="000000" w:themeColor="text1"/>
              </w:rPr>
              <w:t>ncaminhar para infectologista</w:t>
            </w:r>
            <w:r w:rsidRPr="00724191">
              <w:rPr>
                <w:rFonts w:cs="Calibri"/>
                <w:b/>
                <w:color w:val="000000" w:themeColor="text1"/>
              </w:rPr>
              <w:t xml:space="preserve"> referenciado pela CSH (solicitar o contato via CCIH no número 99811-7661</w:t>
            </w:r>
            <w:r w:rsidR="00247B3E" w:rsidRPr="00724191">
              <w:rPr>
                <w:rFonts w:cs="Calibri"/>
                <w:b/>
                <w:color w:val="000000" w:themeColor="text1"/>
              </w:rPr>
              <w:t>)</w:t>
            </w:r>
            <w:r w:rsidRPr="00724191">
              <w:rPr>
                <w:rFonts w:cs="Calibri"/>
                <w:b/>
                <w:color w:val="000000" w:themeColor="text1"/>
              </w:rPr>
              <w:t xml:space="preserve"> devido a atual </w:t>
            </w:r>
            <w:r w:rsidR="00554880" w:rsidRPr="00724191">
              <w:rPr>
                <w:rFonts w:cs="Calibri"/>
                <w:b/>
                <w:color w:val="000000" w:themeColor="text1"/>
              </w:rPr>
              <w:t>possibilidade de tratamento materno com antivirais, visando reduzir o dano</w:t>
            </w:r>
            <w:r w:rsidR="00CE4448">
              <w:rPr>
                <w:rFonts w:cs="Calibri"/>
                <w:b/>
                <w:color w:val="000000" w:themeColor="text1"/>
              </w:rPr>
              <w:t xml:space="preserve"> ao feto</w:t>
            </w:r>
          </w:p>
        </w:tc>
      </w:tr>
      <w:tr w:rsidR="00A503D0" w14:paraId="09655C43" w14:textId="77777777" w:rsidTr="00633ECF">
        <w:tc>
          <w:tcPr>
            <w:tcW w:w="1980" w:type="dxa"/>
            <w:vMerge w:val="restart"/>
          </w:tcPr>
          <w:p w14:paraId="61DAA41A" w14:textId="7480CE3A" w:rsidR="00A503D0" w:rsidRDefault="00A503D0" w:rsidP="002A3568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PEDIATRA</w:t>
            </w:r>
          </w:p>
        </w:tc>
        <w:tc>
          <w:tcPr>
            <w:tcW w:w="7081" w:type="dxa"/>
          </w:tcPr>
          <w:p w14:paraId="1BD65AC8" w14:textId="4FFE1F7D" w:rsidR="00A503D0" w:rsidRDefault="00A503D0" w:rsidP="00283D30">
            <w:pPr>
              <w:pStyle w:val="PargrafodaLista"/>
              <w:numPr>
                <w:ilvl w:val="0"/>
                <w:numId w:val="5"/>
              </w:numPr>
              <w:spacing w:after="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Analisar sorologias e investigar RN com suspeita</w:t>
            </w:r>
          </w:p>
        </w:tc>
      </w:tr>
      <w:tr w:rsidR="00A503D0" w14:paraId="02EF6F8D" w14:textId="77777777" w:rsidTr="00633ECF">
        <w:tc>
          <w:tcPr>
            <w:tcW w:w="1980" w:type="dxa"/>
            <w:vMerge/>
          </w:tcPr>
          <w:p w14:paraId="44A2A869" w14:textId="77777777" w:rsidR="00A503D0" w:rsidRDefault="00A503D0" w:rsidP="002A3568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081" w:type="dxa"/>
          </w:tcPr>
          <w:p w14:paraId="2F2393F2" w14:textId="67569285" w:rsidR="00A503D0" w:rsidRDefault="00A503D0" w:rsidP="00283D30">
            <w:pPr>
              <w:pStyle w:val="PargrafodaLista"/>
              <w:numPr>
                <w:ilvl w:val="0"/>
                <w:numId w:val="5"/>
              </w:numPr>
              <w:spacing w:after="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Solicitar exames e avaliação de especialistas</w:t>
            </w:r>
          </w:p>
        </w:tc>
      </w:tr>
      <w:tr w:rsidR="00A503D0" w14:paraId="1B84087E" w14:textId="77777777" w:rsidTr="00633ECF">
        <w:tc>
          <w:tcPr>
            <w:tcW w:w="1980" w:type="dxa"/>
            <w:vMerge/>
          </w:tcPr>
          <w:p w14:paraId="5E1E1DDE" w14:textId="77777777" w:rsidR="00A503D0" w:rsidRDefault="00A503D0" w:rsidP="002A3568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081" w:type="dxa"/>
          </w:tcPr>
          <w:p w14:paraId="446CC310" w14:textId="21C1EE8B" w:rsidR="00A503D0" w:rsidRDefault="00A503D0" w:rsidP="00283D30">
            <w:pPr>
              <w:pStyle w:val="PargrafodaLista"/>
              <w:numPr>
                <w:ilvl w:val="0"/>
                <w:numId w:val="5"/>
              </w:numPr>
              <w:spacing w:after="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Indicar o tratamento conforme protocolo</w:t>
            </w:r>
          </w:p>
        </w:tc>
      </w:tr>
      <w:tr w:rsidR="00A503D0" w14:paraId="65C6C349" w14:textId="77777777" w:rsidTr="00A503D0">
        <w:trPr>
          <w:trHeight w:val="637"/>
        </w:trPr>
        <w:tc>
          <w:tcPr>
            <w:tcW w:w="1980" w:type="dxa"/>
          </w:tcPr>
          <w:p w14:paraId="4522D733" w14:textId="7370B612" w:rsidR="00A503D0" w:rsidRDefault="00A503D0" w:rsidP="002A3568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ENFERMEIRA</w:t>
            </w:r>
          </w:p>
        </w:tc>
        <w:tc>
          <w:tcPr>
            <w:tcW w:w="7081" w:type="dxa"/>
          </w:tcPr>
          <w:p w14:paraId="64A6959E" w14:textId="44FA2990" w:rsidR="00A503D0" w:rsidRDefault="00A503D0" w:rsidP="00283D30">
            <w:pPr>
              <w:pStyle w:val="PargrafodaLista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Coletar adequadamente a amostra de urina após contato prévio com laboratório para que não haja contaminação do material</w:t>
            </w:r>
          </w:p>
        </w:tc>
      </w:tr>
      <w:tr w:rsidR="00ED5BC1" w14:paraId="3542F328" w14:textId="77777777" w:rsidTr="00E116E6">
        <w:tc>
          <w:tcPr>
            <w:tcW w:w="9061" w:type="dxa"/>
            <w:gridSpan w:val="2"/>
          </w:tcPr>
          <w:p w14:paraId="6E7262BE" w14:textId="06ABD319" w:rsidR="00ED5BC1" w:rsidRPr="00143EFA" w:rsidRDefault="00ED5BC1" w:rsidP="00ED5BC1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  <w:r w:rsidRPr="00143EFA">
              <w:rPr>
                <w:rFonts w:cs="Calibri"/>
                <w:b/>
                <w:bCs/>
              </w:rPr>
              <w:t>PROTOCOLO CLÍNICO</w:t>
            </w:r>
          </w:p>
        </w:tc>
      </w:tr>
      <w:tr w:rsidR="000930C7" w:rsidRPr="003227C1" w14:paraId="3FA05344" w14:textId="77777777" w:rsidTr="001B4D68">
        <w:trPr>
          <w:trHeight w:val="307"/>
        </w:trPr>
        <w:tc>
          <w:tcPr>
            <w:tcW w:w="9061" w:type="dxa"/>
            <w:gridSpan w:val="2"/>
            <w:shd w:val="clear" w:color="auto" w:fill="E7E6E6" w:themeFill="background2"/>
          </w:tcPr>
          <w:p w14:paraId="668CB8F4" w14:textId="26E31E9E" w:rsidR="000930C7" w:rsidRPr="003227C1" w:rsidRDefault="007856AC" w:rsidP="00283D3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3227C1">
              <w:rPr>
                <w:b/>
              </w:rPr>
              <w:t xml:space="preserve">O </w:t>
            </w:r>
            <w:r w:rsidR="00317B48" w:rsidRPr="003227C1">
              <w:rPr>
                <w:b/>
              </w:rPr>
              <w:t>OBSTETRA DEVE SOLICITAR ROTINEIRAMENTE A SOROLOGIA PARA CMV NA GESTAÇÃO?</w:t>
            </w:r>
            <w:r w:rsidR="00356753" w:rsidRPr="003227C1">
              <w:rPr>
                <w:b/>
                <w:vertAlign w:val="superscript"/>
              </w:rPr>
              <w:t>1</w:t>
            </w:r>
          </w:p>
        </w:tc>
      </w:tr>
      <w:tr w:rsidR="002A3568" w14:paraId="7D692573" w14:textId="77777777" w:rsidTr="001B4D68">
        <w:trPr>
          <w:trHeight w:val="243"/>
        </w:trPr>
        <w:tc>
          <w:tcPr>
            <w:tcW w:w="9061" w:type="dxa"/>
            <w:gridSpan w:val="2"/>
          </w:tcPr>
          <w:p w14:paraId="1BB5DE80" w14:textId="77777777" w:rsidR="0058282A" w:rsidRDefault="00077262" w:rsidP="00143EFA">
            <w:pPr>
              <w:spacing w:after="0" w:line="240" w:lineRule="auto"/>
              <w:jc w:val="both"/>
            </w:pPr>
            <w:r>
              <w:t xml:space="preserve">           </w:t>
            </w:r>
            <w:r w:rsidR="00317B48">
              <w:t xml:space="preserve">No Brasil, ao chegar à gestação </w:t>
            </w:r>
            <w:r w:rsidR="002763C6">
              <w:t>cerca de 55</w:t>
            </w:r>
            <w:r w:rsidR="00317B48">
              <w:t>% das gestantes já possuem anticorpos</w:t>
            </w:r>
            <w:r w:rsidR="002763C6">
              <w:t xml:space="preserve"> </w:t>
            </w:r>
            <w:proofErr w:type="spellStart"/>
            <w:r w:rsidR="002763C6">
              <w:t>IgG</w:t>
            </w:r>
            <w:proofErr w:type="spellEnd"/>
            <w:r w:rsidR="00317B48">
              <w:t xml:space="preserve"> contra o vírus</w:t>
            </w:r>
            <w:r w:rsidR="002763C6">
              <w:t xml:space="preserve"> (em classes menos favorecidas chega a 90%)</w:t>
            </w:r>
            <w:r w:rsidR="00317B48">
              <w:t>. Ainda assim, existe a possibilidade de infecção recente ou reativação do vírus</w:t>
            </w:r>
            <w:r w:rsidR="002763C6">
              <w:t>, de forma que a forma aguda acomete 1 – 4 % das gestações</w:t>
            </w:r>
            <w:r w:rsidR="00317B48">
              <w:t xml:space="preserve">. </w:t>
            </w:r>
          </w:p>
          <w:p w14:paraId="622AFF44" w14:textId="2AC77482" w:rsidR="0099160C" w:rsidRDefault="0058282A" w:rsidP="00143EFA">
            <w:pPr>
              <w:spacing w:after="0" w:line="240" w:lineRule="auto"/>
              <w:jc w:val="both"/>
            </w:pPr>
            <w:r>
              <w:t xml:space="preserve">           </w:t>
            </w:r>
            <w:r w:rsidR="00317B48">
              <w:t>Os tratamentos maternos para redução da lesão do RN estão em fase de estudos</w:t>
            </w:r>
            <w:r w:rsidR="00317B48" w:rsidRPr="0058282A">
              <w:rPr>
                <w:color w:val="000000" w:themeColor="text1"/>
              </w:rPr>
              <w:t xml:space="preserve">, </w:t>
            </w:r>
            <w:r w:rsidR="00190CF7" w:rsidRPr="0058282A">
              <w:rPr>
                <w:color w:val="000000" w:themeColor="text1"/>
              </w:rPr>
              <w:t xml:space="preserve">sendo que </w:t>
            </w:r>
            <w:r w:rsidR="00317B48" w:rsidRPr="0058282A">
              <w:rPr>
                <w:color w:val="000000" w:themeColor="text1"/>
              </w:rPr>
              <w:t>alguns antivirais já estão sendo apresentados</w:t>
            </w:r>
            <w:r>
              <w:rPr>
                <w:color w:val="000000" w:themeColor="text1"/>
              </w:rPr>
              <w:t xml:space="preserve"> e utilizados</w:t>
            </w:r>
            <w:r w:rsidR="00317B48" w:rsidRPr="0058282A">
              <w:rPr>
                <w:color w:val="000000" w:themeColor="text1"/>
              </w:rPr>
              <w:t xml:space="preserve"> (</w:t>
            </w:r>
            <w:proofErr w:type="spellStart"/>
            <w:r w:rsidR="00190CF7" w:rsidRPr="0058282A">
              <w:rPr>
                <w:color w:val="000000" w:themeColor="text1"/>
              </w:rPr>
              <w:t>ganciclovir</w:t>
            </w:r>
            <w:proofErr w:type="spellEnd"/>
            <w:r w:rsidR="00190CF7" w:rsidRPr="0058282A">
              <w:rPr>
                <w:color w:val="000000" w:themeColor="text1"/>
              </w:rPr>
              <w:t xml:space="preserve">, </w:t>
            </w:r>
            <w:proofErr w:type="spellStart"/>
            <w:r w:rsidR="00190CF7" w:rsidRPr="0058282A">
              <w:rPr>
                <w:color w:val="000000" w:themeColor="text1"/>
              </w:rPr>
              <w:t>valaciclovir</w:t>
            </w:r>
            <w:proofErr w:type="spellEnd"/>
            <w:r w:rsidR="00317B48" w:rsidRPr="0058282A">
              <w:rPr>
                <w:color w:val="000000" w:themeColor="text1"/>
              </w:rPr>
              <w:t>)</w:t>
            </w:r>
            <w:r w:rsidR="00190CF7" w:rsidRPr="0058282A">
              <w:rPr>
                <w:color w:val="000000" w:themeColor="text1"/>
              </w:rPr>
              <w:t xml:space="preserve">. </w:t>
            </w:r>
            <w:r w:rsidR="00190CF7">
              <w:t>Diante destas atualizações, desde</w:t>
            </w:r>
            <w:r w:rsidR="00317B48">
              <w:t xml:space="preserve"> 2018, a FEBRASGO recomenda: </w:t>
            </w:r>
            <w:r w:rsidR="00143EFA">
              <w:t xml:space="preserve">“realizar as sorologias (para CMV) no início de cada gestação e repetir periodicamente os exames para as gestantes </w:t>
            </w:r>
            <w:r w:rsidR="00F84613">
              <w:t>suscetíveis. ”</w:t>
            </w:r>
            <w:r w:rsidR="0099160C">
              <w:rPr>
                <w:vertAlign w:val="superscript"/>
              </w:rPr>
              <w:t>1</w:t>
            </w:r>
            <w:r w:rsidR="00382F17">
              <w:rPr>
                <w:vertAlign w:val="superscript"/>
              </w:rPr>
              <w:t>,3</w:t>
            </w:r>
            <w:r w:rsidR="0099160C">
              <w:t xml:space="preserve"> </w:t>
            </w:r>
          </w:p>
          <w:p w14:paraId="6F35C8E6" w14:textId="119A8CFF" w:rsidR="003227C1" w:rsidRPr="0099160C" w:rsidRDefault="0099160C" w:rsidP="00143EFA">
            <w:pPr>
              <w:spacing w:after="0" w:line="240" w:lineRule="auto"/>
              <w:jc w:val="both"/>
            </w:pPr>
            <w:r>
              <w:t xml:space="preserve">          Por mais que a gestante não venha a se beneficiar da coleta da sorologia, uma gestante já triada </w:t>
            </w:r>
            <w:r w:rsidR="00DF4D6B">
              <w:t xml:space="preserve">no último mês </w:t>
            </w:r>
            <w:r>
              <w:t>ajudará o pediatra no diagnóstico diferencial diante de um RN com sintomas suspeitos</w:t>
            </w:r>
            <w:r w:rsidR="006D7661">
              <w:t xml:space="preserve">, acelerando o diagnóstico e tratamento, visto que o RN se beneficia do tratamento precoce com </w:t>
            </w:r>
            <w:proofErr w:type="spellStart"/>
            <w:r w:rsidR="006D7661">
              <w:t>ganciclovir</w:t>
            </w:r>
            <w:proofErr w:type="spellEnd"/>
            <w:r w:rsidR="006D7661">
              <w:t xml:space="preserve"> quando indicado.</w:t>
            </w:r>
            <w:r w:rsidR="00FF1387">
              <w:t xml:space="preserve"> </w:t>
            </w:r>
            <w:r w:rsidR="00DF4D6B">
              <w:t>Além disto, ajudará o pediatra na definição de permitir ou não uso de aleitamento materno no caso de prematuros.</w:t>
            </w:r>
          </w:p>
        </w:tc>
      </w:tr>
      <w:tr w:rsidR="00C42619" w:rsidRPr="003227C1" w14:paraId="78BC3C07" w14:textId="77777777" w:rsidTr="00143EFA">
        <w:trPr>
          <w:trHeight w:val="243"/>
        </w:trPr>
        <w:tc>
          <w:tcPr>
            <w:tcW w:w="9061" w:type="dxa"/>
            <w:gridSpan w:val="2"/>
            <w:shd w:val="clear" w:color="auto" w:fill="D0CECE" w:themeFill="background2" w:themeFillShade="E6"/>
          </w:tcPr>
          <w:p w14:paraId="7A891A20" w14:textId="721A53AF" w:rsidR="00C42619" w:rsidRPr="003227C1" w:rsidRDefault="002763C6" w:rsidP="00283D3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  <w:r w:rsidRPr="003227C1">
              <w:rPr>
                <w:b/>
              </w:rPr>
              <w:t>QUANDO PENSAR EM CMV NA GESTANTE?</w:t>
            </w:r>
            <w:r w:rsidR="00356753" w:rsidRPr="003227C1">
              <w:rPr>
                <w:b/>
                <w:vertAlign w:val="superscript"/>
              </w:rPr>
              <w:t>1</w:t>
            </w:r>
          </w:p>
        </w:tc>
      </w:tr>
      <w:tr w:rsidR="00C42619" w14:paraId="51466D8F" w14:textId="77777777" w:rsidTr="001B4D68">
        <w:trPr>
          <w:trHeight w:val="243"/>
        </w:trPr>
        <w:tc>
          <w:tcPr>
            <w:tcW w:w="9061" w:type="dxa"/>
            <w:gridSpan w:val="2"/>
          </w:tcPr>
          <w:p w14:paraId="168E8372" w14:textId="77777777" w:rsidR="003227C1" w:rsidRDefault="002763C6" w:rsidP="002763C6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         </w:t>
            </w:r>
          </w:p>
          <w:p w14:paraId="42C767B2" w14:textId="7BA4C13F" w:rsidR="007A62EC" w:rsidRDefault="003227C1" w:rsidP="002763C6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         </w:t>
            </w:r>
            <w:r w:rsidR="002763C6">
              <w:t xml:space="preserve"> Os sinais de infecção por CMV </w:t>
            </w:r>
            <w:proofErr w:type="spellStart"/>
            <w:r w:rsidR="002763C6">
              <w:t>na</w:t>
            </w:r>
            <w:proofErr w:type="spellEnd"/>
            <w:r w:rsidR="002763C6">
              <w:t xml:space="preserve"> gestante são: febre, mal-estar, mialgia, calafrios, leucocitose, </w:t>
            </w:r>
            <w:proofErr w:type="spellStart"/>
            <w:r w:rsidR="002763C6">
              <w:t>linfocitose</w:t>
            </w:r>
            <w:proofErr w:type="spellEnd"/>
            <w:r w:rsidR="002763C6">
              <w:t xml:space="preserve"> e alteração de enzimas hepáticas, apesar de a maioria ser assintomática</w:t>
            </w:r>
            <w:r w:rsidR="007A62EC">
              <w:t xml:space="preserve"> (fazer diagnóstico diferencial com outras viroses semelhantes à mononucleose, como hepatites</w:t>
            </w:r>
            <w:r w:rsidR="00734DF9">
              <w:t xml:space="preserve">, </w:t>
            </w:r>
            <w:r w:rsidR="007A62EC">
              <w:t>gripe</w:t>
            </w:r>
            <w:r w:rsidR="00734DF9">
              <w:t xml:space="preserve">, HIV, </w:t>
            </w:r>
            <w:proofErr w:type="spellStart"/>
            <w:r w:rsidR="00734DF9">
              <w:t>etc</w:t>
            </w:r>
            <w:proofErr w:type="spellEnd"/>
            <w:r w:rsidR="007A62EC">
              <w:t>).</w:t>
            </w:r>
          </w:p>
          <w:p w14:paraId="39C5C855" w14:textId="38409400" w:rsidR="00FF1387" w:rsidRDefault="00FF1387" w:rsidP="002763C6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           </w:t>
            </w:r>
            <w:r w:rsidRPr="00FF1387">
              <w:t>Descartar CMV em toda gestante HIV positiva (</w:t>
            </w:r>
            <w:proofErr w:type="spellStart"/>
            <w:r w:rsidRPr="00FF1387">
              <w:t>imunocomprometida</w:t>
            </w:r>
            <w:proofErr w:type="spellEnd"/>
            <w:r w:rsidRPr="00FF1387">
              <w:t>).</w:t>
            </w:r>
          </w:p>
          <w:p w14:paraId="6E635BE3" w14:textId="213ABA8B" w:rsidR="00FF1387" w:rsidRDefault="007A62EC" w:rsidP="002763C6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       </w:t>
            </w:r>
            <w:r w:rsidR="00734DF9">
              <w:t xml:space="preserve">    </w:t>
            </w:r>
            <w:r w:rsidR="002763C6">
              <w:t xml:space="preserve">Além destes sintomas, pensar em CMV materno quando o USG apontar para </w:t>
            </w:r>
            <w:proofErr w:type="spellStart"/>
            <w:r w:rsidR="002763C6">
              <w:t>placentomegalia</w:t>
            </w:r>
            <w:proofErr w:type="spellEnd"/>
            <w:r w:rsidR="002763C6">
              <w:t xml:space="preserve">, </w:t>
            </w:r>
            <w:proofErr w:type="spellStart"/>
            <w:r w:rsidR="002763C6">
              <w:t>oligo</w:t>
            </w:r>
            <w:proofErr w:type="spellEnd"/>
            <w:r w:rsidR="002763C6">
              <w:t xml:space="preserve"> ou </w:t>
            </w:r>
            <w:proofErr w:type="spellStart"/>
            <w:r w:rsidR="002763C6">
              <w:t>polidrâmnio</w:t>
            </w:r>
            <w:proofErr w:type="spellEnd"/>
            <w:r w:rsidR="002763C6">
              <w:t>, além das anomalias fetais provocadas pelo CMV</w:t>
            </w:r>
            <w:r w:rsidR="003C37FE">
              <w:t>.</w:t>
            </w:r>
            <w:r w:rsidR="002763C6">
              <w:t xml:space="preserve">  </w:t>
            </w:r>
          </w:p>
          <w:p w14:paraId="24796CDC" w14:textId="11EB9126" w:rsidR="003227C1" w:rsidRDefault="003227C1" w:rsidP="002763C6">
            <w:pPr>
              <w:pStyle w:val="PargrafodaLista"/>
              <w:spacing w:after="0" w:line="240" w:lineRule="auto"/>
              <w:ind w:left="0"/>
              <w:jc w:val="both"/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7"/>
              <w:gridCol w:w="1767"/>
              <w:gridCol w:w="1767"/>
            </w:tblGrid>
            <w:tr w:rsidR="00FF1387" w14:paraId="2B2F6A1A" w14:textId="77777777" w:rsidTr="0072058F">
              <w:tc>
                <w:tcPr>
                  <w:tcW w:w="1767" w:type="dxa"/>
                  <w:shd w:val="clear" w:color="auto" w:fill="E7E6E6" w:themeFill="background2"/>
                </w:tcPr>
                <w:p w14:paraId="64271E42" w14:textId="77777777" w:rsidR="00FF1387" w:rsidRDefault="00FF1387" w:rsidP="00FF1387">
                  <w:pPr>
                    <w:pStyle w:val="PargrafodaLista"/>
                    <w:spacing w:after="0" w:line="240" w:lineRule="auto"/>
                    <w:ind w:left="0"/>
                    <w:jc w:val="center"/>
                  </w:pPr>
                  <w:r>
                    <w:t>SNC</w:t>
                  </w:r>
                </w:p>
              </w:tc>
              <w:tc>
                <w:tcPr>
                  <w:tcW w:w="1767" w:type="dxa"/>
                  <w:shd w:val="clear" w:color="auto" w:fill="E7E6E6" w:themeFill="background2"/>
                </w:tcPr>
                <w:p w14:paraId="4BC0C442" w14:textId="77777777" w:rsidR="00FF1387" w:rsidRDefault="00FF1387" w:rsidP="00FF1387">
                  <w:pPr>
                    <w:pStyle w:val="PargrafodaLista"/>
                    <w:spacing w:after="0" w:line="240" w:lineRule="auto"/>
                    <w:ind w:left="0"/>
                    <w:jc w:val="center"/>
                  </w:pPr>
                  <w:r>
                    <w:t>CARDÍACO</w:t>
                  </w:r>
                </w:p>
              </w:tc>
              <w:tc>
                <w:tcPr>
                  <w:tcW w:w="1767" w:type="dxa"/>
                  <w:shd w:val="clear" w:color="auto" w:fill="E7E6E6" w:themeFill="background2"/>
                </w:tcPr>
                <w:p w14:paraId="3D36029A" w14:textId="77777777" w:rsidR="00FF1387" w:rsidRDefault="00FF1387" w:rsidP="00FF1387">
                  <w:pPr>
                    <w:pStyle w:val="PargrafodaLista"/>
                    <w:spacing w:after="0" w:line="240" w:lineRule="auto"/>
                    <w:ind w:left="0"/>
                    <w:jc w:val="center"/>
                  </w:pPr>
                  <w:r>
                    <w:t>ABDOME</w:t>
                  </w:r>
                </w:p>
              </w:tc>
              <w:tc>
                <w:tcPr>
                  <w:tcW w:w="1767" w:type="dxa"/>
                  <w:shd w:val="clear" w:color="auto" w:fill="E7E6E6" w:themeFill="background2"/>
                </w:tcPr>
                <w:p w14:paraId="5C0E93A1" w14:textId="77777777" w:rsidR="00FF1387" w:rsidRDefault="00FF1387" w:rsidP="00FF1387">
                  <w:pPr>
                    <w:pStyle w:val="PargrafodaLista"/>
                    <w:spacing w:after="0" w:line="240" w:lineRule="auto"/>
                    <w:ind w:left="0"/>
                    <w:jc w:val="center"/>
                  </w:pPr>
                  <w:r>
                    <w:t>PLACENTA/LA</w:t>
                  </w:r>
                </w:p>
              </w:tc>
              <w:tc>
                <w:tcPr>
                  <w:tcW w:w="1767" w:type="dxa"/>
                  <w:shd w:val="clear" w:color="auto" w:fill="E7E6E6" w:themeFill="background2"/>
                </w:tcPr>
                <w:p w14:paraId="36425E7B" w14:textId="77777777" w:rsidR="00FF1387" w:rsidRDefault="00FF1387" w:rsidP="00FF1387">
                  <w:pPr>
                    <w:pStyle w:val="PargrafodaLista"/>
                    <w:spacing w:after="0" w:line="240" w:lineRule="auto"/>
                    <w:ind w:left="0"/>
                    <w:jc w:val="center"/>
                  </w:pPr>
                  <w:r>
                    <w:t>OUTROS</w:t>
                  </w:r>
                </w:p>
              </w:tc>
            </w:tr>
            <w:tr w:rsidR="00FF1387" w14:paraId="3A57F2D8" w14:textId="77777777" w:rsidTr="0072058F">
              <w:tc>
                <w:tcPr>
                  <w:tcW w:w="1767" w:type="dxa"/>
                </w:tcPr>
                <w:p w14:paraId="550643FB" w14:textId="77777777" w:rsidR="00FF1387" w:rsidRDefault="00FF1387" w:rsidP="00FF1387">
                  <w:pPr>
                    <w:pStyle w:val="PargrafodaLista"/>
                    <w:spacing w:after="0" w:line="240" w:lineRule="auto"/>
                    <w:ind w:left="0"/>
                  </w:pPr>
                  <w:r>
                    <w:t xml:space="preserve">- </w:t>
                  </w:r>
                  <w:proofErr w:type="spellStart"/>
                  <w:r>
                    <w:t>Ventriculos</w:t>
                  </w:r>
                  <w:proofErr w:type="spellEnd"/>
                  <w:r>
                    <w:t xml:space="preserve"> </w:t>
                  </w:r>
                  <w:r>
                    <w:rPr>
                      <w:rFonts w:cs="Calibri"/>
                    </w:rPr>
                    <w:t>↑</w:t>
                  </w:r>
                </w:p>
                <w:p w14:paraId="6C6ADA89" w14:textId="77777777" w:rsidR="00FF1387" w:rsidRDefault="00FF1387" w:rsidP="00FF1387">
                  <w:pPr>
                    <w:pStyle w:val="PargrafodaLista"/>
                    <w:spacing w:after="0" w:line="240" w:lineRule="auto"/>
                    <w:ind w:left="0"/>
                  </w:pPr>
                  <w:r>
                    <w:t>- Calcificações</w:t>
                  </w:r>
                </w:p>
                <w:p w14:paraId="5A4E9841" w14:textId="77777777" w:rsidR="00FF1387" w:rsidRDefault="00FF1387" w:rsidP="00FF1387">
                  <w:pPr>
                    <w:pStyle w:val="PargrafodaLista"/>
                    <w:spacing w:after="0" w:line="240" w:lineRule="auto"/>
                    <w:ind w:left="0"/>
                  </w:pPr>
                  <w:r>
                    <w:t>- Microcefalia</w:t>
                  </w:r>
                </w:p>
              </w:tc>
              <w:tc>
                <w:tcPr>
                  <w:tcW w:w="1767" w:type="dxa"/>
                </w:tcPr>
                <w:p w14:paraId="1433D167" w14:textId="77777777" w:rsidR="00FF1387" w:rsidRPr="0058282A" w:rsidRDefault="00FF1387" w:rsidP="00FF1387">
                  <w:pPr>
                    <w:pStyle w:val="PargrafodaLista"/>
                    <w:spacing w:after="0" w:line="240" w:lineRule="auto"/>
                    <w:ind w:left="0"/>
                  </w:pPr>
                  <w:r w:rsidRPr="0058282A">
                    <w:t xml:space="preserve">- </w:t>
                  </w:r>
                  <w:proofErr w:type="spellStart"/>
                  <w:r w:rsidRPr="0058282A">
                    <w:t>Cardiomegalia</w:t>
                  </w:r>
                  <w:proofErr w:type="spellEnd"/>
                </w:p>
                <w:p w14:paraId="22F52374" w14:textId="77777777" w:rsidR="00FF1387" w:rsidRPr="0058282A" w:rsidRDefault="00FF1387" w:rsidP="00FF1387">
                  <w:pPr>
                    <w:pStyle w:val="PargrafodaLista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8282A">
                    <w:t>- Derrame pericárdico</w:t>
                  </w:r>
                </w:p>
              </w:tc>
              <w:tc>
                <w:tcPr>
                  <w:tcW w:w="1767" w:type="dxa"/>
                </w:tcPr>
                <w:p w14:paraId="315DD41C" w14:textId="77777777" w:rsidR="00FF1387" w:rsidRPr="0058282A" w:rsidRDefault="00FF1387" w:rsidP="00FF1387">
                  <w:pPr>
                    <w:pStyle w:val="PargrafodaLista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8282A">
                    <w:rPr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58282A">
                    <w:rPr>
                      <w:sz w:val="18"/>
                      <w:szCs w:val="18"/>
                    </w:rPr>
                    <w:t>Hepatomegalia</w:t>
                  </w:r>
                  <w:proofErr w:type="spellEnd"/>
                </w:p>
                <w:p w14:paraId="779F0E22" w14:textId="77777777" w:rsidR="00FF1387" w:rsidRPr="0058282A" w:rsidRDefault="00FF1387" w:rsidP="00FF1387">
                  <w:pPr>
                    <w:pStyle w:val="PargrafodaLista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8282A">
                    <w:rPr>
                      <w:sz w:val="18"/>
                      <w:szCs w:val="18"/>
                    </w:rPr>
                    <w:t>- Esplenomegalia</w:t>
                  </w:r>
                </w:p>
                <w:p w14:paraId="2BEE37FF" w14:textId="77777777" w:rsidR="00FF1387" w:rsidRPr="0058282A" w:rsidRDefault="00FF1387" w:rsidP="00FF1387">
                  <w:pPr>
                    <w:pStyle w:val="PargrafodaLista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8282A">
                    <w:rPr>
                      <w:sz w:val="18"/>
                      <w:szCs w:val="18"/>
                    </w:rPr>
                    <w:t>- Calcificações em fígado/baço</w:t>
                  </w:r>
                </w:p>
                <w:p w14:paraId="6CE6FF09" w14:textId="77777777" w:rsidR="00FF1387" w:rsidRPr="0058282A" w:rsidRDefault="00FF1387" w:rsidP="00FF1387">
                  <w:pPr>
                    <w:pStyle w:val="PargrafodaLista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8282A">
                    <w:rPr>
                      <w:sz w:val="18"/>
                      <w:szCs w:val="18"/>
                    </w:rPr>
                    <w:t>- Ascite</w:t>
                  </w:r>
                </w:p>
                <w:p w14:paraId="74D2EE75" w14:textId="77777777" w:rsidR="00FF1387" w:rsidRPr="0058282A" w:rsidRDefault="00FF1387" w:rsidP="00FF1387">
                  <w:pPr>
                    <w:pStyle w:val="PargrafodaLista"/>
                    <w:spacing w:after="0" w:line="240" w:lineRule="auto"/>
                    <w:ind w:left="0"/>
                    <w:rPr>
                      <w:sz w:val="18"/>
                      <w:szCs w:val="18"/>
                    </w:rPr>
                  </w:pPr>
                  <w:r w:rsidRPr="0058282A">
                    <w:rPr>
                      <w:sz w:val="18"/>
                      <w:szCs w:val="18"/>
                    </w:rPr>
                    <w:lastRenderedPageBreak/>
                    <w:t xml:space="preserve">- Intestino </w:t>
                  </w:r>
                  <w:proofErr w:type="spellStart"/>
                  <w:r w:rsidRPr="0058282A">
                    <w:rPr>
                      <w:sz w:val="18"/>
                      <w:szCs w:val="18"/>
                    </w:rPr>
                    <w:t>hiperecogênico</w:t>
                  </w:r>
                  <w:proofErr w:type="spellEnd"/>
                </w:p>
              </w:tc>
              <w:tc>
                <w:tcPr>
                  <w:tcW w:w="1767" w:type="dxa"/>
                </w:tcPr>
                <w:p w14:paraId="5B12F7D0" w14:textId="77777777" w:rsidR="00FF1387" w:rsidRDefault="00FF1387" w:rsidP="00FF1387">
                  <w:pPr>
                    <w:pStyle w:val="PargrafodaLista"/>
                    <w:spacing w:after="0" w:line="240" w:lineRule="auto"/>
                    <w:ind w:left="0"/>
                  </w:pPr>
                  <w:r>
                    <w:lastRenderedPageBreak/>
                    <w:t xml:space="preserve">- Placenta </w:t>
                  </w:r>
                  <w:r w:rsidRPr="0058282A">
                    <w:t>↑</w:t>
                  </w:r>
                  <w:r>
                    <w:t xml:space="preserve"> ou </w:t>
                  </w:r>
                  <w:r>
                    <w:rPr>
                      <w:rFonts w:cs="Calibri"/>
                    </w:rPr>
                    <w:t>↓</w:t>
                  </w:r>
                </w:p>
                <w:p w14:paraId="01B9C367" w14:textId="77777777" w:rsidR="00FF1387" w:rsidRDefault="00FF1387" w:rsidP="00FF1387">
                  <w:pPr>
                    <w:pStyle w:val="PargrafodaLista"/>
                    <w:spacing w:after="0" w:line="240" w:lineRule="auto"/>
                    <w:ind w:left="0"/>
                  </w:pPr>
                  <w:r>
                    <w:t xml:space="preserve">- </w:t>
                  </w:r>
                  <w:proofErr w:type="spellStart"/>
                  <w:r>
                    <w:t>Oligoâmnio</w:t>
                  </w:r>
                  <w:proofErr w:type="spellEnd"/>
                </w:p>
                <w:p w14:paraId="4E89FBEB" w14:textId="77777777" w:rsidR="00FF1387" w:rsidRDefault="00FF1387" w:rsidP="00FF1387">
                  <w:pPr>
                    <w:pStyle w:val="PargrafodaLista"/>
                    <w:spacing w:after="0" w:line="240" w:lineRule="auto"/>
                    <w:ind w:left="0"/>
                  </w:pPr>
                  <w:r>
                    <w:t xml:space="preserve">- </w:t>
                  </w:r>
                  <w:proofErr w:type="spellStart"/>
                  <w:r>
                    <w:t>Polidrâmnio</w:t>
                  </w:r>
                  <w:proofErr w:type="spellEnd"/>
                </w:p>
              </w:tc>
              <w:tc>
                <w:tcPr>
                  <w:tcW w:w="1767" w:type="dxa"/>
                </w:tcPr>
                <w:p w14:paraId="1E923460" w14:textId="77777777" w:rsidR="00FF1387" w:rsidRDefault="00FF1387" w:rsidP="00FF1387">
                  <w:pPr>
                    <w:pStyle w:val="PargrafodaLista"/>
                    <w:spacing w:after="0" w:line="240" w:lineRule="auto"/>
                    <w:ind w:left="0"/>
                  </w:pPr>
                  <w:r>
                    <w:t>- RCIU</w:t>
                  </w:r>
                </w:p>
                <w:p w14:paraId="69F014B9" w14:textId="77777777" w:rsidR="00FF1387" w:rsidRDefault="00FF1387" w:rsidP="00FF1387">
                  <w:pPr>
                    <w:pStyle w:val="PargrafodaLista"/>
                    <w:spacing w:after="0" w:line="240" w:lineRule="auto"/>
                    <w:ind w:left="0"/>
                  </w:pPr>
                  <w:r>
                    <w:t xml:space="preserve">- </w:t>
                  </w:r>
                  <w:proofErr w:type="spellStart"/>
                  <w:r>
                    <w:t>Hidropsia</w:t>
                  </w:r>
                  <w:proofErr w:type="spellEnd"/>
                </w:p>
              </w:tc>
            </w:tr>
          </w:tbl>
          <w:p w14:paraId="1564331E" w14:textId="08D86291" w:rsidR="00FF1387" w:rsidRDefault="00FF1387" w:rsidP="002763C6">
            <w:pPr>
              <w:pStyle w:val="PargrafodaLista"/>
              <w:spacing w:after="0" w:line="240" w:lineRule="auto"/>
              <w:ind w:left="0"/>
              <w:jc w:val="both"/>
            </w:pPr>
          </w:p>
          <w:p w14:paraId="21478F05" w14:textId="7436B87F" w:rsidR="0058282A" w:rsidRDefault="003C37FE" w:rsidP="002763C6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         </w:t>
            </w:r>
            <w:r w:rsidR="002763C6">
              <w:t>Diante de uma infecção primária materna, em 50% dos casos haverá transmissão vertical.</w:t>
            </w:r>
          </w:p>
        </w:tc>
      </w:tr>
      <w:tr w:rsidR="00734DF9" w:rsidRPr="003227C1" w14:paraId="4A6B0E26" w14:textId="77777777" w:rsidTr="00734DF9">
        <w:trPr>
          <w:trHeight w:val="243"/>
        </w:trPr>
        <w:tc>
          <w:tcPr>
            <w:tcW w:w="9061" w:type="dxa"/>
            <w:gridSpan w:val="2"/>
            <w:shd w:val="clear" w:color="auto" w:fill="D0CECE" w:themeFill="background2" w:themeFillShade="E6"/>
          </w:tcPr>
          <w:p w14:paraId="538903FE" w14:textId="5ECE2BDB" w:rsidR="00734DF9" w:rsidRPr="003227C1" w:rsidRDefault="00734DF9" w:rsidP="00283D3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noProof/>
              </w:rPr>
            </w:pPr>
            <w:r w:rsidRPr="003227C1">
              <w:rPr>
                <w:b/>
                <w:noProof/>
              </w:rPr>
              <w:lastRenderedPageBreak/>
              <w:t>COMO INTERPRETAR AS SOROLOGIAS COLHIDAS NA GESTAÇÃO?</w:t>
            </w:r>
          </w:p>
        </w:tc>
      </w:tr>
      <w:tr w:rsidR="00734DF9" w14:paraId="67E86C72" w14:textId="77777777" w:rsidTr="001B4D68">
        <w:trPr>
          <w:trHeight w:val="243"/>
        </w:trPr>
        <w:tc>
          <w:tcPr>
            <w:tcW w:w="9061" w:type="dxa"/>
            <w:gridSpan w:val="2"/>
          </w:tcPr>
          <w:tbl>
            <w:tblPr>
              <w:tblStyle w:val="Tabelacomgrade"/>
              <w:tblpPr w:leftFromText="141" w:rightFromText="141" w:vertAnchor="page" w:horzAnchor="margin" w:tblpY="1594"/>
              <w:tblOverlap w:val="never"/>
              <w:tblW w:w="8835" w:type="dxa"/>
              <w:tblLook w:val="04A0" w:firstRow="1" w:lastRow="0" w:firstColumn="1" w:lastColumn="0" w:noHBand="0" w:noVBand="1"/>
            </w:tblPr>
            <w:tblGrid>
              <w:gridCol w:w="1283"/>
              <w:gridCol w:w="3565"/>
              <w:gridCol w:w="1362"/>
              <w:gridCol w:w="2625"/>
            </w:tblGrid>
            <w:tr w:rsidR="00734DF9" w:rsidRPr="0069275A" w14:paraId="03A9F696" w14:textId="77777777" w:rsidTr="00483C61">
              <w:tc>
                <w:tcPr>
                  <w:tcW w:w="1283" w:type="dxa"/>
                  <w:shd w:val="clear" w:color="auto" w:fill="E7E6E6" w:themeFill="background2"/>
                  <w:vAlign w:val="center"/>
                </w:tcPr>
                <w:p w14:paraId="700D8AB1" w14:textId="77777777" w:rsid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SOROLOGIA</w:t>
                  </w:r>
                </w:p>
                <w:p w14:paraId="2C676E9B" w14:textId="5E7CAD34" w:rsidR="00734DF9" w:rsidRP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34DF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ANTICORPOS CMV</w:t>
                  </w:r>
                </w:p>
              </w:tc>
              <w:tc>
                <w:tcPr>
                  <w:tcW w:w="3565" w:type="dxa"/>
                  <w:shd w:val="clear" w:color="auto" w:fill="E7E6E6" w:themeFill="background2"/>
                  <w:vAlign w:val="center"/>
                </w:tcPr>
                <w:p w14:paraId="1A7AA90B" w14:textId="5B30E550" w:rsidR="00734DF9" w:rsidRP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34DF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INTERPRETAÇÃO</w:t>
                  </w:r>
                </w:p>
              </w:tc>
              <w:tc>
                <w:tcPr>
                  <w:tcW w:w="1362" w:type="dxa"/>
                  <w:shd w:val="clear" w:color="auto" w:fill="E7E6E6" w:themeFill="background2"/>
                  <w:vAlign w:val="center"/>
                </w:tcPr>
                <w:p w14:paraId="34FCC483" w14:textId="669FF823" w:rsidR="00734DF9" w:rsidRP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TESTE de </w:t>
                  </w:r>
                  <w:r w:rsidRPr="00734DF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AVIDEZ DE IGG</w:t>
                  </w:r>
                </w:p>
              </w:tc>
              <w:tc>
                <w:tcPr>
                  <w:tcW w:w="2625" w:type="dxa"/>
                  <w:shd w:val="clear" w:color="auto" w:fill="E7E6E6" w:themeFill="background2"/>
                  <w:vAlign w:val="center"/>
                </w:tcPr>
                <w:p w14:paraId="6EB3D2C6" w14:textId="5A96090A" w:rsidR="00734DF9" w:rsidRP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34DF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IMPLICAÇÕES</w:t>
                  </w:r>
                </w:p>
              </w:tc>
            </w:tr>
            <w:tr w:rsidR="00734DF9" w:rsidRPr="0069275A" w14:paraId="3898334A" w14:textId="77777777" w:rsidTr="00483C61">
              <w:tc>
                <w:tcPr>
                  <w:tcW w:w="1283" w:type="dxa"/>
                  <w:vAlign w:val="center"/>
                </w:tcPr>
                <w:p w14:paraId="65690A33" w14:textId="3E04CAA2" w:rsid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34DF9">
                    <w:rPr>
                      <w:rFonts w:ascii="Arial" w:hAnsi="Arial" w:cs="Arial"/>
                      <w:sz w:val="20"/>
                      <w:szCs w:val="20"/>
                    </w:rPr>
                    <w:t>IgM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34DF9">
                    <w:rPr>
                      <w:rFonts w:ascii="Arial" w:hAnsi="Arial" w:cs="Arial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  <w:p w14:paraId="2A658753" w14:textId="0BF8DDFE" w:rsidR="00734DF9" w:rsidRP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34DF9">
                    <w:rPr>
                      <w:rFonts w:ascii="Arial" w:hAnsi="Arial" w:cs="Arial"/>
                      <w:sz w:val="20"/>
                      <w:szCs w:val="20"/>
                    </w:rPr>
                    <w:t>IgG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34DF9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3565" w:type="dxa"/>
                  <w:vAlign w:val="center"/>
                </w:tcPr>
                <w:p w14:paraId="5B7AD00C" w14:textId="77777777" w:rsid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Gestante não infectada OU</w:t>
                  </w:r>
                </w:p>
                <w:p w14:paraId="3268E15D" w14:textId="77777777" w:rsid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Gestante com infecção muito precoce </w:t>
                  </w:r>
                </w:p>
                <w:p w14:paraId="28DFE560" w14:textId="7C9A7D41" w:rsidR="00734DF9" w:rsidRP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(&lt; 1 semana)</w:t>
                  </w:r>
                </w:p>
              </w:tc>
              <w:tc>
                <w:tcPr>
                  <w:tcW w:w="1362" w:type="dxa"/>
                  <w:vAlign w:val="center"/>
                </w:tcPr>
                <w:p w14:paraId="3A3F0D2E" w14:textId="21FF3893" w:rsid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NÃO se aplica</w:t>
                  </w:r>
                </w:p>
              </w:tc>
              <w:tc>
                <w:tcPr>
                  <w:tcW w:w="2625" w:type="dxa"/>
                  <w:vAlign w:val="center"/>
                </w:tcPr>
                <w:p w14:paraId="306F4AE0" w14:textId="2BEC1A68" w:rsidR="00734DF9" w:rsidRP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É suscetível. Aconselhamento para reduzir o risco e repetir trimestral na gestação.</w:t>
                  </w:r>
                </w:p>
              </w:tc>
            </w:tr>
            <w:tr w:rsidR="00734DF9" w:rsidRPr="0069275A" w14:paraId="333B674C" w14:textId="77777777" w:rsidTr="00483C61">
              <w:tc>
                <w:tcPr>
                  <w:tcW w:w="1283" w:type="dxa"/>
                  <w:vAlign w:val="center"/>
                </w:tcPr>
                <w:p w14:paraId="4A147E78" w14:textId="77777777" w:rsid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34DF9">
                    <w:rPr>
                      <w:rFonts w:ascii="Arial" w:hAnsi="Arial" w:cs="Arial"/>
                      <w:sz w:val="20"/>
                      <w:szCs w:val="20"/>
                    </w:rPr>
                    <w:t>IgM</w:t>
                  </w:r>
                  <w:proofErr w:type="spellEnd"/>
                  <w:r w:rsidRPr="00734DF9">
                    <w:rPr>
                      <w:rFonts w:ascii="Arial" w:hAnsi="Arial" w:cs="Arial"/>
                      <w:sz w:val="20"/>
                      <w:szCs w:val="20"/>
                    </w:rPr>
                    <w:t xml:space="preserve"> + </w:t>
                  </w:r>
                </w:p>
                <w:p w14:paraId="41F47566" w14:textId="578FD189" w:rsidR="00734DF9" w:rsidRP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34DF9">
                    <w:rPr>
                      <w:rFonts w:ascii="Arial" w:hAnsi="Arial" w:cs="Arial"/>
                      <w:sz w:val="20"/>
                      <w:szCs w:val="20"/>
                    </w:rPr>
                    <w:t>IgG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34DF9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3565" w:type="dxa"/>
                  <w:vAlign w:val="center"/>
                </w:tcPr>
                <w:p w14:paraId="30AA4F85" w14:textId="345F1C08" w:rsidR="00734DF9" w:rsidRP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Provável infecção recente, mas p</w:t>
                  </w:r>
                  <w:r w:rsidRPr="00734DF9">
                    <w:rPr>
                      <w:rFonts w:ascii="Arial" w:hAnsi="Arial" w:cs="Arial"/>
                      <w:sz w:val="16"/>
                      <w:szCs w:val="16"/>
                    </w:rPr>
                    <w:t>ode ser falso positivo (90%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dos casos</w:t>
                  </w:r>
                  <w:r w:rsidRPr="00734DF9">
                    <w:rPr>
                      <w:rFonts w:ascii="Arial" w:hAnsi="Arial" w:cs="Arial"/>
                      <w:sz w:val="16"/>
                      <w:szCs w:val="16"/>
                    </w:rPr>
                    <w:t xml:space="preserve">) devido 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infecção por </w:t>
                  </w:r>
                  <w:r w:rsidRPr="00734DF9">
                    <w:rPr>
                      <w:rFonts w:ascii="Arial" w:hAnsi="Arial" w:cs="Arial"/>
                      <w:sz w:val="16"/>
                      <w:szCs w:val="16"/>
                    </w:rPr>
                    <w:t>outro vírus, doença autoimune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ou </w:t>
                  </w:r>
                  <w:r w:rsidRPr="00734DF9">
                    <w:rPr>
                      <w:rFonts w:ascii="Arial" w:hAnsi="Arial" w:cs="Arial"/>
                      <w:sz w:val="16"/>
                      <w:szCs w:val="16"/>
                    </w:rPr>
                    <w:t>métodos laboratoriais</w:t>
                  </w:r>
                </w:p>
              </w:tc>
              <w:tc>
                <w:tcPr>
                  <w:tcW w:w="1362" w:type="dxa"/>
                  <w:vAlign w:val="center"/>
                </w:tcPr>
                <w:p w14:paraId="57353514" w14:textId="572A1B6B" w:rsidR="00734DF9" w:rsidRP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NÃO se aplica</w:t>
                  </w:r>
                </w:p>
              </w:tc>
              <w:tc>
                <w:tcPr>
                  <w:tcW w:w="2625" w:type="dxa"/>
                  <w:vAlign w:val="center"/>
                </w:tcPr>
                <w:p w14:paraId="23321099" w14:textId="5C68FABF" w:rsid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34DF9">
                    <w:rPr>
                      <w:rFonts w:ascii="Arial" w:hAnsi="Arial" w:cs="Arial"/>
                      <w:sz w:val="16"/>
                      <w:szCs w:val="16"/>
                    </w:rPr>
                    <w:t>Rep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etir as sorologias</w:t>
                  </w:r>
                  <w:r w:rsidRPr="00734DF9">
                    <w:rPr>
                      <w:rFonts w:ascii="Arial" w:hAnsi="Arial" w:cs="Arial"/>
                      <w:sz w:val="16"/>
                      <w:szCs w:val="16"/>
                    </w:rPr>
                    <w:t xml:space="preserve"> em duas semanas</w:t>
                  </w:r>
                </w:p>
                <w:p w14:paraId="10B963EE" w14:textId="535EE80C" w:rsidR="00734DF9" w:rsidRP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(se for CMV, o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IgG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vai positivar)</w:t>
                  </w:r>
                </w:p>
              </w:tc>
            </w:tr>
            <w:tr w:rsidR="00734DF9" w:rsidRPr="0069275A" w14:paraId="7B73A36A" w14:textId="77777777" w:rsidTr="00483C61">
              <w:tc>
                <w:tcPr>
                  <w:tcW w:w="1283" w:type="dxa"/>
                  <w:vAlign w:val="center"/>
                </w:tcPr>
                <w:p w14:paraId="0C395484" w14:textId="77777777" w:rsid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34DF9">
                    <w:rPr>
                      <w:rFonts w:ascii="Arial" w:hAnsi="Arial" w:cs="Arial"/>
                      <w:sz w:val="20"/>
                      <w:szCs w:val="20"/>
                    </w:rPr>
                    <w:t>IgM</w:t>
                  </w:r>
                  <w:proofErr w:type="spellEnd"/>
                  <w:r w:rsidRPr="00734DF9">
                    <w:rPr>
                      <w:rFonts w:ascii="Arial" w:hAnsi="Arial" w:cs="Arial"/>
                      <w:sz w:val="20"/>
                      <w:szCs w:val="20"/>
                    </w:rPr>
                    <w:t xml:space="preserve"> + </w:t>
                  </w:r>
                </w:p>
                <w:p w14:paraId="08F68D2E" w14:textId="75EFD132" w:rsidR="00734DF9" w:rsidRP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34DF9">
                    <w:rPr>
                      <w:rFonts w:ascii="Arial" w:hAnsi="Arial" w:cs="Arial"/>
                      <w:sz w:val="20"/>
                      <w:szCs w:val="20"/>
                    </w:rPr>
                    <w:t>IgG</w:t>
                  </w:r>
                  <w:proofErr w:type="spellEnd"/>
                  <w:r w:rsidRPr="00734DF9">
                    <w:rPr>
                      <w:rFonts w:ascii="Arial" w:hAnsi="Arial" w:cs="Arial"/>
                      <w:sz w:val="20"/>
                      <w:szCs w:val="20"/>
                    </w:rPr>
                    <w:t xml:space="preserve"> +</w:t>
                  </w:r>
                </w:p>
              </w:tc>
              <w:tc>
                <w:tcPr>
                  <w:tcW w:w="3565" w:type="dxa"/>
                  <w:vAlign w:val="center"/>
                </w:tcPr>
                <w:p w14:paraId="361F5F74" w14:textId="2B49B1A3" w:rsidR="00734DF9" w:rsidRDefault="00170D1C" w:rsidP="00734DF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 o obstetra</w:t>
                  </w:r>
                  <w:r w:rsidR="00734DF9">
                    <w:rPr>
                      <w:rFonts w:ascii="Arial" w:hAnsi="Arial" w:cs="Arial"/>
                      <w:sz w:val="16"/>
                      <w:szCs w:val="16"/>
                    </w:rPr>
                    <w:t xml:space="preserve"> acompanhou a </w:t>
                  </w:r>
                  <w:proofErr w:type="spellStart"/>
                  <w:r w:rsidR="00734DF9" w:rsidRPr="00734DF9">
                    <w:rPr>
                      <w:rFonts w:ascii="Arial" w:hAnsi="Arial" w:cs="Arial"/>
                      <w:sz w:val="16"/>
                      <w:szCs w:val="16"/>
                    </w:rPr>
                    <w:t>soroconversão</w:t>
                  </w:r>
                  <w:proofErr w:type="spellEnd"/>
                  <w:r w:rsidR="00734DF9">
                    <w:rPr>
                      <w:rFonts w:ascii="Arial" w:hAnsi="Arial" w:cs="Arial"/>
                      <w:sz w:val="16"/>
                      <w:szCs w:val="16"/>
                    </w:rPr>
                    <w:t xml:space="preserve"> (era </w:t>
                  </w:r>
                  <w:proofErr w:type="spellStart"/>
                  <w:r w:rsidR="00734DF9">
                    <w:rPr>
                      <w:rFonts w:ascii="Arial" w:hAnsi="Arial" w:cs="Arial"/>
                      <w:sz w:val="16"/>
                      <w:szCs w:val="16"/>
                    </w:rPr>
                    <w:t>IgG</w:t>
                  </w:r>
                  <w:proofErr w:type="spellEnd"/>
                  <w:r w:rsidR="00734DF9">
                    <w:rPr>
                      <w:rFonts w:ascii="Arial" w:hAnsi="Arial" w:cs="Arial"/>
                      <w:sz w:val="16"/>
                      <w:szCs w:val="16"/>
                    </w:rPr>
                    <w:t xml:space="preserve"> – e agora é </w:t>
                  </w:r>
                  <w:proofErr w:type="gramStart"/>
                  <w:r w:rsidR="00734DF9">
                    <w:rPr>
                      <w:rFonts w:ascii="Arial" w:hAnsi="Arial" w:cs="Arial"/>
                      <w:sz w:val="16"/>
                      <w:szCs w:val="16"/>
                    </w:rPr>
                    <w:t>+</w:t>
                  </w:r>
                  <w:proofErr w:type="gramEnd"/>
                  <w:r w:rsidR="00734DF9">
                    <w:rPr>
                      <w:rFonts w:ascii="Arial" w:hAnsi="Arial" w:cs="Arial"/>
                      <w:sz w:val="16"/>
                      <w:szCs w:val="16"/>
                    </w:rPr>
                    <w:t xml:space="preserve">) = </w:t>
                  </w:r>
                  <w:r w:rsidR="00734DF9" w:rsidRPr="00734DF9">
                    <w:rPr>
                      <w:rFonts w:ascii="Arial" w:hAnsi="Arial" w:cs="Arial"/>
                      <w:sz w:val="16"/>
                      <w:szCs w:val="16"/>
                    </w:rPr>
                    <w:t>infecção primária</w:t>
                  </w:r>
                  <w:r w:rsidR="00734DF9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40DF541D" w14:textId="45B1E3EE" w:rsidR="00734DF9" w:rsidRPr="00734DF9" w:rsidRDefault="00734DF9" w:rsidP="00734DF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 há dúvida sobre infecção recente ou não</w:t>
                  </w:r>
                  <w:r w:rsidR="00483C61">
                    <w:rPr>
                      <w:rFonts w:ascii="Arial" w:hAnsi="Arial" w:cs="Arial"/>
                      <w:sz w:val="16"/>
                      <w:szCs w:val="16"/>
                    </w:rPr>
                    <w:t xml:space="preserve">, a avidez da </w:t>
                  </w:r>
                  <w:proofErr w:type="spellStart"/>
                  <w:r w:rsidR="00483C61">
                    <w:rPr>
                      <w:rFonts w:ascii="Arial" w:hAnsi="Arial" w:cs="Arial"/>
                      <w:sz w:val="16"/>
                      <w:szCs w:val="16"/>
                    </w:rPr>
                    <w:t>IgG</w:t>
                  </w:r>
                  <w:proofErr w:type="spellEnd"/>
                  <w:r w:rsidR="00483C61">
                    <w:rPr>
                      <w:rFonts w:ascii="Arial" w:hAnsi="Arial" w:cs="Arial"/>
                      <w:sz w:val="16"/>
                      <w:szCs w:val="16"/>
                    </w:rPr>
                    <w:t xml:space="preserve"> irá ajudar a definir, sendo que uma baixa avidez apontará para infecção recente.</w:t>
                  </w:r>
                </w:p>
              </w:tc>
              <w:tc>
                <w:tcPr>
                  <w:tcW w:w="1362" w:type="dxa"/>
                  <w:vAlign w:val="center"/>
                </w:tcPr>
                <w:p w14:paraId="281794E5" w14:textId="77777777" w:rsid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34DF9">
                    <w:rPr>
                      <w:rFonts w:ascii="Arial" w:hAnsi="Arial" w:cs="Arial"/>
                      <w:sz w:val="16"/>
                      <w:szCs w:val="16"/>
                    </w:rPr>
                    <w:t>Baix</w:t>
                  </w:r>
                  <w:r w:rsidR="00483C61">
                    <w:rPr>
                      <w:rFonts w:ascii="Arial" w:hAnsi="Arial" w:cs="Arial"/>
                      <w:sz w:val="16"/>
                      <w:szCs w:val="16"/>
                    </w:rPr>
                    <w:t>a avidez</w:t>
                  </w:r>
                </w:p>
                <w:p w14:paraId="1906CBEB" w14:textId="714BBFE6" w:rsidR="00483C61" w:rsidRPr="00734DF9" w:rsidRDefault="00483C61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(&lt; 30%)</w:t>
                  </w:r>
                </w:p>
              </w:tc>
              <w:tc>
                <w:tcPr>
                  <w:tcW w:w="2625" w:type="dxa"/>
                  <w:vAlign w:val="center"/>
                </w:tcPr>
                <w:p w14:paraId="52AABF24" w14:textId="3728F596" w:rsidR="00734DF9" w:rsidRP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34DF9">
                    <w:rPr>
                      <w:rFonts w:ascii="Arial" w:hAnsi="Arial" w:cs="Arial"/>
                      <w:sz w:val="16"/>
                      <w:szCs w:val="16"/>
                    </w:rPr>
                    <w:t>Aconselhar sobre a probabilidade de infecção fetal, possíveis sequelas e opções para diagnóstico e tratamento pré-natal</w:t>
                  </w:r>
                </w:p>
              </w:tc>
            </w:tr>
            <w:tr w:rsidR="00734DF9" w:rsidRPr="0069275A" w14:paraId="3BA47A06" w14:textId="77777777" w:rsidTr="00483C61">
              <w:tc>
                <w:tcPr>
                  <w:tcW w:w="1283" w:type="dxa"/>
                  <w:vAlign w:val="center"/>
                </w:tcPr>
                <w:p w14:paraId="2E00B2D8" w14:textId="77777777" w:rsidR="00483C61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34DF9">
                    <w:rPr>
                      <w:rFonts w:ascii="Arial" w:hAnsi="Arial" w:cs="Arial"/>
                      <w:sz w:val="20"/>
                      <w:szCs w:val="20"/>
                    </w:rPr>
                    <w:t>IgM</w:t>
                  </w:r>
                  <w:proofErr w:type="spellEnd"/>
                  <w:r w:rsidRPr="00734DF9">
                    <w:rPr>
                      <w:rFonts w:ascii="Arial" w:hAnsi="Arial" w:cs="Arial"/>
                      <w:sz w:val="20"/>
                      <w:szCs w:val="20"/>
                    </w:rPr>
                    <w:t xml:space="preserve"> + </w:t>
                  </w:r>
                </w:p>
                <w:p w14:paraId="1E510375" w14:textId="6D9CA8B2" w:rsidR="00734DF9" w:rsidRP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34DF9">
                    <w:rPr>
                      <w:rFonts w:ascii="Arial" w:hAnsi="Arial" w:cs="Arial"/>
                      <w:sz w:val="20"/>
                      <w:szCs w:val="20"/>
                    </w:rPr>
                    <w:t>IgG</w:t>
                  </w:r>
                  <w:proofErr w:type="spellEnd"/>
                  <w:r w:rsidRPr="00734DF9">
                    <w:rPr>
                      <w:rFonts w:ascii="Arial" w:hAnsi="Arial" w:cs="Arial"/>
                      <w:sz w:val="20"/>
                      <w:szCs w:val="20"/>
                    </w:rPr>
                    <w:t xml:space="preserve"> +</w:t>
                  </w:r>
                </w:p>
              </w:tc>
              <w:tc>
                <w:tcPr>
                  <w:tcW w:w="3565" w:type="dxa"/>
                  <w:vAlign w:val="center"/>
                </w:tcPr>
                <w:p w14:paraId="72D8D650" w14:textId="77777777" w:rsidR="00483C61" w:rsidRDefault="00483C61" w:rsidP="00483C61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Se há dúvida sobre infecção recente ou não, a avidez da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IgG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irá ajudar a definir. Uma alta avidez apontará para infecção anterior (há mais de 3 meses). </w:t>
                  </w:r>
                </w:p>
                <w:p w14:paraId="0BDEB3B8" w14:textId="6BAF8AFE" w:rsidR="00734DF9" w:rsidRPr="00734DF9" w:rsidRDefault="00734DF9" w:rsidP="00483C61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 w14:paraId="2ACBC939" w14:textId="77777777" w:rsid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34DF9">
                    <w:rPr>
                      <w:rFonts w:ascii="Arial" w:hAnsi="Arial" w:cs="Arial"/>
                      <w:sz w:val="16"/>
                      <w:szCs w:val="16"/>
                    </w:rPr>
                    <w:t>Alt</w:t>
                  </w:r>
                  <w:r w:rsidR="00483C61">
                    <w:rPr>
                      <w:rFonts w:ascii="Arial" w:hAnsi="Arial" w:cs="Arial"/>
                      <w:sz w:val="16"/>
                      <w:szCs w:val="16"/>
                    </w:rPr>
                    <w:t>a avidez</w:t>
                  </w:r>
                </w:p>
                <w:p w14:paraId="3A17FDE4" w14:textId="10ED4578" w:rsidR="00483C61" w:rsidRPr="00734DF9" w:rsidRDefault="00483C61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(&gt; 80%)</w:t>
                  </w:r>
                </w:p>
              </w:tc>
              <w:tc>
                <w:tcPr>
                  <w:tcW w:w="2625" w:type="dxa"/>
                  <w:vAlign w:val="center"/>
                </w:tcPr>
                <w:p w14:paraId="79A14A18" w14:textId="0BCF76CC" w:rsidR="00734DF9" w:rsidRP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34DF9">
                    <w:rPr>
                      <w:rFonts w:ascii="Arial" w:hAnsi="Arial" w:cs="Arial"/>
                      <w:sz w:val="16"/>
                      <w:szCs w:val="16"/>
                    </w:rPr>
                    <w:t>Aconselhar sobre baixo risco de infecção fetal, mas possíveis sequelas se o feto for infectado</w:t>
                  </w:r>
                </w:p>
              </w:tc>
            </w:tr>
            <w:tr w:rsidR="00734DF9" w:rsidRPr="0069275A" w14:paraId="38B5BBFE" w14:textId="77777777" w:rsidTr="00483C61">
              <w:tc>
                <w:tcPr>
                  <w:tcW w:w="1283" w:type="dxa"/>
                  <w:vAlign w:val="center"/>
                </w:tcPr>
                <w:p w14:paraId="2CE5F3E1" w14:textId="12AE940B" w:rsidR="00483C61" w:rsidRDefault="00BA1682" w:rsidP="00BA168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="00734DF9" w:rsidRPr="00734DF9">
                    <w:rPr>
                      <w:rFonts w:ascii="Arial" w:hAnsi="Arial" w:cs="Arial"/>
                      <w:sz w:val="20"/>
                      <w:szCs w:val="20"/>
                    </w:rPr>
                    <w:t>gM</w:t>
                  </w:r>
                  <w:proofErr w:type="spellEnd"/>
                  <w:r w:rsidR="00483C6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34DF9" w:rsidRPr="00734DF9">
                    <w:rPr>
                      <w:rFonts w:ascii="Arial" w:hAnsi="Arial" w:cs="Arial"/>
                      <w:sz w:val="20"/>
                      <w:szCs w:val="20"/>
                    </w:rPr>
                    <w:t xml:space="preserve">– </w:t>
                  </w:r>
                </w:p>
                <w:p w14:paraId="2FEA0309" w14:textId="102314E9" w:rsidR="00734DF9" w:rsidRPr="00734DF9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34DF9">
                    <w:rPr>
                      <w:rFonts w:ascii="Arial" w:hAnsi="Arial" w:cs="Arial"/>
                      <w:sz w:val="20"/>
                      <w:szCs w:val="20"/>
                    </w:rPr>
                    <w:t>IgG</w:t>
                  </w:r>
                  <w:proofErr w:type="spellEnd"/>
                  <w:r w:rsidRPr="00734DF9">
                    <w:rPr>
                      <w:rFonts w:ascii="Arial" w:hAnsi="Arial" w:cs="Arial"/>
                      <w:sz w:val="20"/>
                      <w:szCs w:val="20"/>
                    </w:rPr>
                    <w:t xml:space="preserve"> +</w:t>
                  </w:r>
                </w:p>
              </w:tc>
              <w:tc>
                <w:tcPr>
                  <w:tcW w:w="3565" w:type="dxa"/>
                  <w:vAlign w:val="center"/>
                </w:tcPr>
                <w:p w14:paraId="40A73685" w14:textId="22C26395" w:rsidR="00BA1682" w:rsidRDefault="00BA1682" w:rsidP="00734DF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Este resultado é o que virá na maioria das gestantes e geralmente indica uma infecção prévia (&gt; 3 meses da data da coleta)</w:t>
                  </w:r>
                </w:p>
                <w:p w14:paraId="1673002E" w14:textId="77777777" w:rsidR="00FF1387" w:rsidRDefault="00FF1387" w:rsidP="00734DF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4235A95" w14:textId="0754C732" w:rsidR="00BA1682" w:rsidRPr="00FF1387" w:rsidRDefault="00030FC2" w:rsidP="00734DF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i/>
                      <w:color w:val="000000" w:themeColor="text1"/>
                      <w:sz w:val="16"/>
                      <w:szCs w:val="16"/>
                    </w:rPr>
                  </w:pPr>
                  <w:r w:rsidRPr="00FF1387">
                    <w:rPr>
                      <w:rFonts w:ascii="Arial" w:hAnsi="Arial" w:cs="Arial"/>
                      <w:b/>
                      <w:i/>
                      <w:color w:val="000000" w:themeColor="text1"/>
                      <w:sz w:val="16"/>
                      <w:szCs w:val="16"/>
                    </w:rPr>
                    <w:t xml:space="preserve">    Atenção aos valores da </w:t>
                  </w:r>
                  <w:proofErr w:type="spellStart"/>
                  <w:r w:rsidRPr="00FF1387">
                    <w:rPr>
                      <w:rFonts w:ascii="Arial" w:hAnsi="Arial" w:cs="Arial"/>
                      <w:b/>
                      <w:i/>
                      <w:color w:val="000000" w:themeColor="text1"/>
                      <w:sz w:val="16"/>
                      <w:szCs w:val="16"/>
                    </w:rPr>
                    <w:t>IgG</w:t>
                  </w:r>
                  <w:proofErr w:type="spellEnd"/>
                  <w:r w:rsidRPr="00FF1387">
                    <w:rPr>
                      <w:rFonts w:ascii="Arial" w:hAnsi="Arial" w:cs="Arial"/>
                      <w:b/>
                      <w:i/>
                      <w:color w:val="000000" w:themeColor="text1"/>
                      <w:sz w:val="16"/>
                      <w:szCs w:val="16"/>
                    </w:rPr>
                    <w:t xml:space="preserve">: um aumento significativo (pelo menos o dobro) nos títulos de </w:t>
                  </w:r>
                  <w:proofErr w:type="spellStart"/>
                  <w:r w:rsidRPr="00FF1387">
                    <w:rPr>
                      <w:rFonts w:ascii="Arial" w:hAnsi="Arial" w:cs="Arial"/>
                      <w:b/>
                      <w:i/>
                      <w:color w:val="000000" w:themeColor="text1"/>
                      <w:sz w:val="16"/>
                      <w:szCs w:val="16"/>
                    </w:rPr>
                    <w:t>IgG</w:t>
                  </w:r>
                  <w:proofErr w:type="spellEnd"/>
                  <w:r w:rsidRPr="00FF1387">
                    <w:rPr>
                      <w:rFonts w:ascii="Arial" w:hAnsi="Arial" w:cs="Arial"/>
                      <w:b/>
                      <w:i/>
                      <w:color w:val="000000" w:themeColor="text1"/>
                      <w:sz w:val="16"/>
                      <w:szCs w:val="16"/>
                    </w:rPr>
                    <w:t xml:space="preserve"> em série sugere reativação ou reinfecção.</w:t>
                  </w:r>
                </w:p>
                <w:p w14:paraId="2653D525" w14:textId="6B56DF37" w:rsidR="00734DF9" w:rsidRPr="00734DF9" w:rsidRDefault="00734DF9" w:rsidP="00BA168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 w14:paraId="07EDD347" w14:textId="42AA8B4A" w:rsidR="00734DF9" w:rsidRPr="00734DF9" w:rsidRDefault="00BA1682" w:rsidP="00734DF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NÃO é necessário coletar</w:t>
                  </w:r>
                </w:p>
              </w:tc>
              <w:tc>
                <w:tcPr>
                  <w:tcW w:w="2625" w:type="dxa"/>
                  <w:vAlign w:val="center"/>
                </w:tcPr>
                <w:p w14:paraId="7924C5FA" w14:textId="6020C2E7" w:rsidR="00734DF9" w:rsidRPr="00734DF9" w:rsidRDefault="00734DF9" w:rsidP="00734DF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34DF9">
                    <w:rPr>
                      <w:rFonts w:ascii="Arial" w:hAnsi="Arial" w:cs="Arial"/>
                      <w:sz w:val="16"/>
                      <w:szCs w:val="16"/>
                    </w:rPr>
                    <w:t>Aconselhamento sobre baixo risco de infecção fetal e possíveis sequelas</w:t>
                  </w:r>
                </w:p>
                <w:p w14:paraId="12CC0A59" w14:textId="77777777" w:rsidR="00734DF9" w:rsidRPr="008D280B" w:rsidRDefault="00734DF9" w:rsidP="00734D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D280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Não há necessidade de mais testes</w:t>
                  </w:r>
                </w:p>
              </w:tc>
            </w:tr>
          </w:tbl>
          <w:p w14:paraId="1D29CE9F" w14:textId="38E25E0D" w:rsidR="00734DF9" w:rsidRDefault="00483C61" w:rsidP="002763C6">
            <w:pPr>
              <w:pStyle w:val="PargrafodaLista"/>
              <w:spacing w:after="0" w:line="240" w:lineRule="auto"/>
              <w:ind w:left="0"/>
              <w:jc w:val="both"/>
              <w:rPr>
                <w:noProof/>
              </w:rPr>
            </w:pPr>
            <w:r>
              <w:t xml:space="preserve">        Os anticorpos do tipo </w:t>
            </w:r>
            <w:proofErr w:type="spellStart"/>
            <w:r>
              <w:t>IgM</w:t>
            </w:r>
            <w:proofErr w:type="spellEnd"/>
            <w:r>
              <w:t xml:space="preserve"> tendem a desaparecer entre 30 a 60 dias, podendo persistir por até 10 meses positivo pelo teste do tipo Elisa. Por isto, mesmo com </w:t>
            </w:r>
            <w:proofErr w:type="spellStart"/>
            <w:r>
              <w:t>IgM</w:t>
            </w:r>
            <w:proofErr w:type="spellEnd"/>
            <w:r>
              <w:t xml:space="preserve"> positivo, realizar o teste da avidez pode ser importante para definir entre infecção recente ou não. Um teste da avidez da </w:t>
            </w:r>
            <w:proofErr w:type="spellStart"/>
            <w:r>
              <w:t>IgG</w:t>
            </w:r>
            <w:proofErr w:type="spellEnd"/>
            <w:r>
              <w:t xml:space="preserve"> baixo (&lt; 30% de avidez) indica infecção recente (até 20 semanas). Um teste da avidez da </w:t>
            </w:r>
            <w:proofErr w:type="spellStart"/>
            <w:r>
              <w:t>IgG</w:t>
            </w:r>
            <w:proofErr w:type="spellEnd"/>
            <w:r>
              <w:t xml:space="preserve"> alto (avidez &gt; 80%) praticamente exclui infecção nas últimas 12 semanas.</w:t>
            </w:r>
          </w:p>
        </w:tc>
      </w:tr>
      <w:tr w:rsidR="007856AC" w:rsidRPr="003227C1" w14:paraId="18EB0B4A" w14:textId="77777777" w:rsidTr="00143EFA">
        <w:trPr>
          <w:trHeight w:val="243"/>
        </w:trPr>
        <w:tc>
          <w:tcPr>
            <w:tcW w:w="9061" w:type="dxa"/>
            <w:gridSpan w:val="2"/>
            <w:shd w:val="clear" w:color="auto" w:fill="D0CECE" w:themeFill="background2" w:themeFillShade="E6"/>
          </w:tcPr>
          <w:p w14:paraId="329BAA8F" w14:textId="1FE46231" w:rsidR="007856AC" w:rsidRPr="003227C1" w:rsidRDefault="00077262" w:rsidP="00283D3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  <w:r w:rsidRPr="003227C1">
              <w:rPr>
                <w:b/>
              </w:rPr>
              <w:t xml:space="preserve">COMO </w:t>
            </w:r>
            <w:r w:rsidR="002763C6" w:rsidRPr="003227C1">
              <w:rPr>
                <w:b/>
              </w:rPr>
              <w:t>SUSPEITAR QUE O RECÉM-NASCIDO (RN) APRESENTA CMV?</w:t>
            </w:r>
          </w:p>
        </w:tc>
      </w:tr>
      <w:tr w:rsidR="00BE3F2F" w14:paraId="3A6615FE" w14:textId="77777777" w:rsidTr="001B4D68">
        <w:trPr>
          <w:trHeight w:val="104"/>
        </w:trPr>
        <w:tc>
          <w:tcPr>
            <w:tcW w:w="9061" w:type="dxa"/>
            <w:gridSpan w:val="2"/>
          </w:tcPr>
          <w:p w14:paraId="2E0EB68E" w14:textId="0C08D455" w:rsidR="00517B16" w:rsidRDefault="00517B16" w:rsidP="002763C6">
            <w:pPr>
              <w:pStyle w:val="PargrafodaLista"/>
              <w:spacing w:after="0" w:line="240" w:lineRule="auto"/>
              <w:ind w:left="0"/>
              <w:jc w:val="both"/>
              <w:rPr>
                <w:noProof/>
              </w:rPr>
            </w:pPr>
            <w:r>
              <w:rPr>
                <w:noProof/>
              </w:rPr>
              <w:t xml:space="preserve">             </w:t>
            </w:r>
            <w:r w:rsidR="002763C6">
              <w:rPr>
                <w:noProof/>
              </w:rPr>
              <w:t xml:space="preserve">Ao nascimento 90% dos RN acometidos serão assintomáticos. </w:t>
            </w:r>
            <w:r>
              <w:rPr>
                <w:noProof/>
              </w:rPr>
              <w:t>Mesmo assintomáticos, devem seguir com fonoaudiologia, pois poderão evoluir com perda auditiva que tem seu pico no final do primeiro ano de vida.</w:t>
            </w:r>
          </w:p>
          <w:p w14:paraId="0681467B" w14:textId="7F97FCAA" w:rsidR="00BE3F2F" w:rsidRDefault="00517B16" w:rsidP="002763C6">
            <w:pPr>
              <w:pStyle w:val="PargrafodaLista"/>
              <w:spacing w:after="0" w:line="240" w:lineRule="auto"/>
              <w:ind w:left="0"/>
              <w:jc w:val="both"/>
              <w:rPr>
                <w:noProof/>
              </w:rPr>
            </w:pPr>
            <w:r>
              <w:rPr>
                <w:noProof/>
              </w:rPr>
              <w:t xml:space="preserve">             </w:t>
            </w:r>
            <w:r w:rsidR="002763C6">
              <w:rPr>
                <w:noProof/>
              </w:rPr>
              <w:t>Dos sintomáticos, cerca de 10% te</w:t>
            </w:r>
            <w:r>
              <w:rPr>
                <w:noProof/>
              </w:rPr>
              <w:t>rão</w:t>
            </w:r>
            <w:r w:rsidR="002763C6">
              <w:rPr>
                <w:noProof/>
              </w:rPr>
              <w:t xml:space="preserve"> evolução normal posterior e o restante apresentará alguma sequela, sendo a mais comum a auditiva</w:t>
            </w:r>
            <w:r>
              <w:rPr>
                <w:noProof/>
              </w:rPr>
              <w:t xml:space="preserve"> (acomete 50% dos RN sintomáticos e também tem seu pico ao final do primeiro ano de vida). Os sintomas mais comuns são:</w:t>
            </w:r>
          </w:p>
          <w:p w14:paraId="04C50EA8" w14:textId="77777777" w:rsidR="003227C1" w:rsidRDefault="003227C1" w:rsidP="002763C6">
            <w:pPr>
              <w:pStyle w:val="PargrafodaLista"/>
              <w:spacing w:after="0" w:line="240" w:lineRule="auto"/>
              <w:ind w:left="0"/>
              <w:jc w:val="both"/>
              <w:rPr>
                <w:noProof/>
              </w:rPr>
            </w:pPr>
          </w:p>
          <w:tbl>
            <w:tblPr>
              <w:tblStyle w:val="Tabelacomgrade"/>
              <w:tblpPr w:leftFromText="141" w:rightFromText="141" w:vertAnchor="text" w:horzAnchor="margin" w:tblpY="7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4111"/>
              <w:gridCol w:w="2286"/>
            </w:tblGrid>
            <w:tr w:rsidR="00B60440" w14:paraId="6170DE3B" w14:textId="77777777" w:rsidTr="00B60440">
              <w:tc>
                <w:tcPr>
                  <w:tcW w:w="2438" w:type="dxa"/>
                </w:tcPr>
                <w:p w14:paraId="6D216501" w14:textId="77777777" w:rsidR="00B60440" w:rsidRPr="00517B16" w:rsidRDefault="00B60440" w:rsidP="00B60440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517B16">
                    <w:rPr>
                      <w:noProof/>
                      <w:sz w:val="20"/>
                      <w:szCs w:val="20"/>
                    </w:rPr>
                    <w:t>Petéquias (50-75%)</w:t>
                  </w:r>
                </w:p>
              </w:tc>
              <w:tc>
                <w:tcPr>
                  <w:tcW w:w="4111" w:type="dxa"/>
                </w:tcPr>
                <w:p w14:paraId="352CD10C" w14:textId="77777777" w:rsidR="00B60440" w:rsidRPr="00517B16" w:rsidRDefault="00B60440" w:rsidP="00B60440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517B16">
                    <w:rPr>
                      <w:noProof/>
                      <w:sz w:val="20"/>
                      <w:szCs w:val="20"/>
                    </w:rPr>
                    <w:t>Icterícia (40-70%)</w:t>
                  </w:r>
                </w:p>
              </w:tc>
              <w:tc>
                <w:tcPr>
                  <w:tcW w:w="2286" w:type="dxa"/>
                </w:tcPr>
                <w:p w14:paraId="135C929A" w14:textId="77777777" w:rsidR="00B60440" w:rsidRPr="00517B16" w:rsidRDefault="00B60440" w:rsidP="00B60440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517B16">
                    <w:rPr>
                      <w:noProof/>
                      <w:sz w:val="20"/>
                      <w:szCs w:val="20"/>
                    </w:rPr>
                    <w:t>Hepatoespleno (40-60%)</w:t>
                  </w:r>
                </w:p>
              </w:tc>
            </w:tr>
            <w:tr w:rsidR="00B60440" w14:paraId="02A197F9" w14:textId="77777777" w:rsidTr="00B60440">
              <w:tc>
                <w:tcPr>
                  <w:tcW w:w="2438" w:type="dxa"/>
                </w:tcPr>
                <w:p w14:paraId="420A77CB" w14:textId="77777777" w:rsidR="00B60440" w:rsidRPr="00517B16" w:rsidRDefault="00B60440" w:rsidP="00B60440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517B16">
                    <w:rPr>
                      <w:noProof/>
                      <w:sz w:val="20"/>
                      <w:szCs w:val="20"/>
                    </w:rPr>
                    <w:t>PIG (40-50%)</w:t>
                  </w:r>
                </w:p>
              </w:tc>
              <w:tc>
                <w:tcPr>
                  <w:tcW w:w="4111" w:type="dxa"/>
                </w:tcPr>
                <w:p w14:paraId="26A271FA" w14:textId="77777777" w:rsidR="00B60440" w:rsidRPr="00517B16" w:rsidRDefault="00B60440" w:rsidP="00B60440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517B16">
                    <w:rPr>
                      <w:noProof/>
                      <w:sz w:val="20"/>
                      <w:szCs w:val="20"/>
                    </w:rPr>
                    <w:t>Microcefalia (35-50%)</w:t>
                  </w:r>
                </w:p>
              </w:tc>
              <w:tc>
                <w:tcPr>
                  <w:tcW w:w="2286" w:type="dxa"/>
                </w:tcPr>
                <w:p w14:paraId="40FB4562" w14:textId="77777777" w:rsidR="00B60440" w:rsidRPr="00517B16" w:rsidRDefault="00B60440" w:rsidP="00B60440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517B16">
                    <w:rPr>
                      <w:noProof/>
                      <w:sz w:val="20"/>
                      <w:szCs w:val="20"/>
                    </w:rPr>
                    <w:t>Hipotonia/letargia (30%)</w:t>
                  </w:r>
                </w:p>
              </w:tc>
            </w:tr>
            <w:tr w:rsidR="00B60440" w14:paraId="12BD3536" w14:textId="77777777" w:rsidTr="00B60440">
              <w:tc>
                <w:tcPr>
                  <w:tcW w:w="2438" w:type="dxa"/>
                </w:tcPr>
                <w:p w14:paraId="0C4FD6FE" w14:textId="2B4A9D62" w:rsidR="00B60440" w:rsidRPr="00517B16" w:rsidRDefault="00F42C33" w:rsidP="00B60440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Surdez (35-50%)</w:t>
                  </w:r>
                </w:p>
              </w:tc>
              <w:tc>
                <w:tcPr>
                  <w:tcW w:w="4111" w:type="dxa"/>
                </w:tcPr>
                <w:p w14:paraId="6DF79634" w14:textId="77777777" w:rsidR="00B60440" w:rsidRPr="00517B16" w:rsidRDefault="00B60440" w:rsidP="00B60440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517B16">
                    <w:rPr>
                      <w:noProof/>
                      <w:sz w:val="20"/>
                      <w:szCs w:val="20"/>
                    </w:rPr>
                    <w:t>Coriorretinite, cicatriz ou atrofia óptica (10-15%)</w:t>
                  </w:r>
                </w:p>
              </w:tc>
              <w:tc>
                <w:tcPr>
                  <w:tcW w:w="2286" w:type="dxa"/>
                </w:tcPr>
                <w:p w14:paraId="4E4A481C" w14:textId="19CCDB65" w:rsidR="00B60440" w:rsidRPr="00517B16" w:rsidRDefault="00F42C33" w:rsidP="00B60440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517B16">
                    <w:rPr>
                      <w:noProof/>
                      <w:sz w:val="20"/>
                      <w:szCs w:val="20"/>
                    </w:rPr>
                    <w:t>Má-sucção (20%)</w:t>
                  </w:r>
                </w:p>
              </w:tc>
            </w:tr>
            <w:tr w:rsidR="00B60440" w14:paraId="40A94FFF" w14:textId="77777777" w:rsidTr="00B60440">
              <w:tc>
                <w:tcPr>
                  <w:tcW w:w="2438" w:type="dxa"/>
                </w:tcPr>
                <w:p w14:paraId="7FAF26B0" w14:textId="4AE1CE49" w:rsidR="00B60440" w:rsidRPr="00517B16" w:rsidRDefault="00F42C33" w:rsidP="00B60440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517B16">
                    <w:rPr>
                      <w:noProof/>
                      <w:sz w:val="20"/>
                      <w:szCs w:val="20"/>
                    </w:rPr>
                    <w:t>Convulsões (5-10%)</w:t>
                  </w:r>
                </w:p>
              </w:tc>
              <w:tc>
                <w:tcPr>
                  <w:tcW w:w="4111" w:type="dxa"/>
                </w:tcPr>
                <w:p w14:paraId="7D6C387A" w14:textId="77777777" w:rsidR="00B60440" w:rsidRPr="00517B16" w:rsidRDefault="00B60440" w:rsidP="00B60440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517B16">
                    <w:rPr>
                      <w:noProof/>
                      <w:sz w:val="20"/>
                      <w:szCs w:val="20"/>
                    </w:rPr>
                    <w:t>Pneumonia (5-10%)</w:t>
                  </w:r>
                </w:p>
              </w:tc>
              <w:tc>
                <w:tcPr>
                  <w:tcW w:w="2286" w:type="dxa"/>
                </w:tcPr>
                <w:p w14:paraId="3BBF9AFB" w14:textId="77777777" w:rsidR="00B60440" w:rsidRPr="00517B16" w:rsidRDefault="00B60440" w:rsidP="00B60440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517B16">
                    <w:rPr>
                      <w:noProof/>
                      <w:sz w:val="20"/>
                      <w:szCs w:val="20"/>
                    </w:rPr>
                    <w:t>Estrabismo (1-2%)</w:t>
                  </w:r>
                </w:p>
              </w:tc>
            </w:tr>
          </w:tbl>
          <w:p w14:paraId="1DA8AB75" w14:textId="52CF5C06" w:rsidR="004A7DEF" w:rsidRPr="00242B0A" w:rsidRDefault="004A7DEF" w:rsidP="00242B0A">
            <w:pPr>
              <w:spacing w:before="100" w:after="10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7DE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OBS.: RN prematuros (&lt; 32 semanas) com CMV congênito sintomático têm maior probabilidade de apresentar </w:t>
            </w:r>
            <w:proofErr w:type="spellStart"/>
            <w:r w:rsidRPr="004A7DEF">
              <w:rPr>
                <w:rFonts w:ascii="Arial" w:hAnsi="Arial" w:cs="Arial"/>
                <w:i/>
                <w:iCs/>
                <w:sz w:val="20"/>
                <w:szCs w:val="20"/>
              </w:rPr>
              <w:t>pneumonite</w:t>
            </w:r>
            <w:proofErr w:type="spellEnd"/>
            <w:r w:rsidRPr="004A7DEF">
              <w:rPr>
                <w:rFonts w:ascii="Arial" w:hAnsi="Arial" w:cs="Arial"/>
                <w:i/>
                <w:iCs/>
                <w:sz w:val="20"/>
                <w:szCs w:val="20"/>
              </w:rPr>
              <w:t>, sinais de sepse viral, trombocitopenia e menos probabilidade de apresentar microcefalia ou calcificações intracranianas do que neonatos a termo. </w:t>
            </w:r>
          </w:p>
          <w:p w14:paraId="656EDD2A" w14:textId="260EB7AA" w:rsidR="00B60440" w:rsidRDefault="00B60440" w:rsidP="002763C6">
            <w:pPr>
              <w:pStyle w:val="PargrafodaLista"/>
              <w:spacing w:after="0" w:line="240" w:lineRule="auto"/>
              <w:ind w:left="0"/>
              <w:jc w:val="both"/>
              <w:rPr>
                <w:noProof/>
              </w:rPr>
            </w:pPr>
            <w:r>
              <w:rPr>
                <w:noProof/>
              </w:rPr>
              <w:t>Os achados laboratoriais mais comuns são:</w:t>
            </w:r>
          </w:p>
          <w:tbl>
            <w:tblPr>
              <w:tblStyle w:val="Tabelacomgrade"/>
              <w:tblpPr w:leftFromText="141" w:rightFromText="141" w:vertAnchor="text" w:horzAnchor="margin" w:tblpY="7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075"/>
            </w:tblGrid>
            <w:tr w:rsidR="00F42C33" w14:paraId="22C2C82F" w14:textId="77777777" w:rsidTr="00F42C33">
              <w:tc>
                <w:tcPr>
                  <w:tcW w:w="8075" w:type="dxa"/>
                </w:tcPr>
                <w:p w14:paraId="109094FB" w14:textId="150BA315" w:rsidR="00F42C33" w:rsidRPr="00517B16" w:rsidRDefault="00F42C33" w:rsidP="00B60440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TGO/TGP elevadas (50-80%)</w:t>
                  </w:r>
                </w:p>
              </w:tc>
            </w:tr>
            <w:tr w:rsidR="00F42C33" w14:paraId="79AEBF31" w14:textId="77777777" w:rsidTr="00F42C33">
              <w:tc>
                <w:tcPr>
                  <w:tcW w:w="8075" w:type="dxa"/>
                </w:tcPr>
                <w:p w14:paraId="2586881F" w14:textId="48C8AAA3" w:rsidR="00F42C33" w:rsidRPr="00517B16" w:rsidRDefault="00F42C33" w:rsidP="00B60440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lastRenderedPageBreak/>
                    <w:t>Plaquetopenia (50-80%)</w:t>
                  </w:r>
                </w:p>
              </w:tc>
            </w:tr>
            <w:tr w:rsidR="00F42C33" w14:paraId="0CD1216B" w14:textId="77777777" w:rsidTr="00F42C33">
              <w:tc>
                <w:tcPr>
                  <w:tcW w:w="8075" w:type="dxa"/>
                </w:tcPr>
                <w:p w14:paraId="3FE9A81F" w14:textId="4A847F18" w:rsidR="00F42C33" w:rsidRPr="00517B16" w:rsidRDefault="00F42C33" w:rsidP="00B60440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BTF aumentada (35-70%)</w:t>
                  </w:r>
                </w:p>
              </w:tc>
            </w:tr>
            <w:tr w:rsidR="00F42C33" w14:paraId="6E7C8944" w14:textId="77777777" w:rsidTr="00F42C33">
              <w:tc>
                <w:tcPr>
                  <w:tcW w:w="8075" w:type="dxa"/>
                </w:tcPr>
                <w:p w14:paraId="4DFBC7BC" w14:textId="7CF33B50" w:rsidR="00F42C33" w:rsidRPr="00517B16" w:rsidRDefault="00F42C33" w:rsidP="00B60440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Raros no HMG: anemia hemolítica (5%), neutropenia, linfopenia, linfocitose, reação leucemóide</w:t>
                  </w:r>
                </w:p>
              </w:tc>
            </w:tr>
          </w:tbl>
          <w:p w14:paraId="29FC5824" w14:textId="50CE3126" w:rsidR="00B60440" w:rsidRDefault="00B60440" w:rsidP="002763C6">
            <w:pPr>
              <w:pStyle w:val="PargrafodaLista"/>
              <w:spacing w:after="0" w:line="240" w:lineRule="auto"/>
              <w:ind w:left="0"/>
              <w:jc w:val="both"/>
              <w:rPr>
                <w:noProof/>
              </w:rPr>
            </w:pPr>
          </w:p>
          <w:p w14:paraId="549420A3" w14:textId="6A6BAE27" w:rsidR="00B60440" w:rsidRDefault="00B60440" w:rsidP="002763C6">
            <w:pPr>
              <w:pStyle w:val="PargrafodaLista"/>
              <w:spacing w:after="0" w:line="240" w:lineRule="auto"/>
              <w:ind w:left="0"/>
              <w:jc w:val="both"/>
              <w:rPr>
                <w:noProof/>
              </w:rPr>
            </w:pPr>
          </w:p>
          <w:p w14:paraId="7FAD5FFB" w14:textId="625D9666" w:rsidR="00CA151C" w:rsidRDefault="00CA151C" w:rsidP="00CA151C">
            <w:pPr>
              <w:pStyle w:val="PargrafodaLista"/>
              <w:tabs>
                <w:tab w:val="center" w:pos="4422"/>
              </w:tabs>
              <w:spacing w:after="0" w:line="240" w:lineRule="auto"/>
              <w:ind w:left="0"/>
              <w:jc w:val="both"/>
              <w:rPr>
                <w:noProof/>
              </w:rPr>
            </w:pPr>
            <w:r>
              <w:rPr>
                <w:noProof/>
              </w:rPr>
              <w:t>Alterações de neuroimagem mais comuns: USG TF ou RNM</w:t>
            </w:r>
          </w:p>
          <w:tbl>
            <w:tblPr>
              <w:tblStyle w:val="Tabelacomgrade"/>
              <w:tblpPr w:leftFromText="141" w:rightFromText="141" w:vertAnchor="text" w:horzAnchor="margin" w:tblpY="7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792"/>
            </w:tblGrid>
            <w:tr w:rsidR="00CA151C" w14:paraId="07C64833" w14:textId="77777777" w:rsidTr="00CA151C">
              <w:tc>
                <w:tcPr>
                  <w:tcW w:w="7792" w:type="dxa"/>
                </w:tcPr>
                <w:p w14:paraId="1F62B19B" w14:textId="7B6F8816" w:rsidR="00CA151C" w:rsidRPr="00517B16" w:rsidRDefault="00CA151C" w:rsidP="00CA151C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Calcificações periventriculares (35-70%)</w:t>
                  </w:r>
                </w:p>
              </w:tc>
            </w:tr>
            <w:tr w:rsidR="00CA151C" w14:paraId="2DA52E97" w14:textId="77777777" w:rsidTr="00CA151C">
              <w:tc>
                <w:tcPr>
                  <w:tcW w:w="7792" w:type="dxa"/>
                </w:tcPr>
                <w:p w14:paraId="5CCC89F8" w14:textId="28DBBD80" w:rsidR="00CA151C" w:rsidRPr="00517B16" w:rsidRDefault="00CA151C" w:rsidP="00CA151C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Vasculopatia lenticulostriada (25-70%)</w:t>
                  </w:r>
                </w:p>
              </w:tc>
            </w:tr>
            <w:tr w:rsidR="00CA151C" w14:paraId="3E282377" w14:textId="77777777" w:rsidTr="00CA151C">
              <w:tc>
                <w:tcPr>
                  <w:tcW w:w="7792" w:type="dxa"/>
                </w:tcPr>
                <w:p w14:paraId="34F91AAB" w14:textId="71FEF200" w:rsidR="00CA151C" w:rsidRPr="00517B16" w:rsidRDefault="00CA151C" w:rsidP="00CA151C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Doença da substância branca (22-60%)</w:t>
                  </w:r>
                </w:p>
              </w:tc>
            </w:tr>
            <w:tr w:rsidR="00CA151C" w14:paraId="3F67829E" w14:textId="77777777" w:rsidTr="00CA151C">
              <w:tc>
                <w:tcPr>
                  <w:tcW w:w="7792" w:type="dxa"/>
                </w:tcPr>
                <w:p w14:paraId="24E55789" w14:textId="531BD10E" w:rsidR="00CA151C" w:rsidRPr="00517B16" w:rsidRDefault="00CA151C" w:rsidP="00CA151C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Ventriculomegalia (10-50%)</w:t>
                  </w:r>
                </w:p>
              </w:tc>
            </w:tr>
            <w:tr w:rsidR="00CA151C" w14:paraId="0EB3FD56" w14:textId="77777777" w:rsidTr="00CA151C">
              <w:tc>
                <w:tcPr>
                  <w:tcW w:w="7792" w:type="dxa"/>
                </w:tcPr>
                <w:p w14:paraId="0B066095" w14:textId="1C9052B0" w:rsidR="00CA151C" w:rsidRDefault="00CA151C" w:rsidP="00CA151C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Anormalidades migratórias, incluindo polimicrogiria focal, paquigiria e lisencefalia (10-40%)</w:t>
                  </w:r>
                </w:p>
              </w:tc>
            </w:tr>
            <w:tr w:rsidR="00CA151C" w14:paraId="3D4EF21D" w14:textId="77777777" w:rsidTr="00CA151C">
              <w:tc>
                <w:tcPr>
                  <w:tcW w:w="7792" w:type="dxa"/>
                </w:tcPr>
                <w:p w14:paraId="4EBCD547" w14:textId="360BC9F1" w:rsidR="00CA151C" w:rsidRDefault="00CA151C" w:rsidP="00CA151C">
                  <w:pPr>
                    <w:pStyle w:val="PargrafodaLista"/>
                    <w:spacing w:after="0" w:line="240" w:lineRule="auto"/>
                    <w:ind w:left="0"/>
                    <w:jc w:val="both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Leucomalácia periventricular e anormalidades císticas (11%)</w:t>
                  </w:r>
                </w:p>
              </w:tc>
            </w:tr>
          </w:tbl>
          <w:p w14:paraId="25E8408D" w14:textId="77777777" w:rsidR="00B60440" w:rsidRDefault="00B60440" w:rsidP="002763C6">
            <w:pPr>
              <w:pStyle w:val="PargrafodaLista"/>
              <w:spacing w:after="0" w:line="240" w:lineRule="auto"/>
              <w:ind w:left="0"/>
              <w:jc w:val="both"/>
              <w:rPr>
                <w:noProof/>
              </w:rPr>
            </w:pPr>
          </w:p>
          <w:p w14:paraId="1C303970" w14:textId="77777777" w:rsidR="00517B16" w:rsidRDefault="00517B16" w:rsidP="002763C6">
            <w:pPr>
              <w:pStyle w:val="PargrafodaLista"/>
              <w:spacing w:after="0" w:line="240" w:lineRule="auto"/>
              <w:ind w:left="0"/>
              <w:jc w:val="both"/>
              <w:rPr>
                <w:noProof/>
              </w:rPr>
            </w:pPr>
          </w:p>
          <w:p w14:paraId="18342928" w14:textId="77777777" w:rsidR="00CA151C" w:rsidRDefault="00CA151C" w:rsidP="002763C6">
            <w:pPr>
              <w:pStyle w:val="PargrafodaLista"/>
              <w:spacing w:after="0" w:line="240" w:lineRule="auto"/>
              <w:ind w:left="0"/>
              <w:jc w:val="both"/>
              <w:rPr>
                <w:noProof/>
              </w:rPr>
            </w:pPr>
          </w:p>
          <w:p w14:paraId="5376EE23" w14:textId="77777777" w:rsidR="00CA151C" w:rsidRDefault="00CA151C" w:rsidP="002763C6">
            <w:pPr>
              <w:pStyle w:val="PargrafodaLista"/>
              <w:spacing w:after="0" w:line="240" w:lineRule="auto"/>
              <w:ind w:left="0"/>
              <w:jc w:val="both"/>
              <w:rPr>
                <w:noProof/>
              </w:rPr>
            </w:pPr>
          </w:p>
          <w:p w14:paraId="374AD6DD" w14:textId="77777777" w:rsidR="00CA151C" w:rsidRDefault="00CA151C" w:rsidP="002763C6">
            <w:pPr>
              <w:pStyle w:val="PargrafodaLista"/>
              <w:spacing w:after="0" w:line="240" w:lineRule="auto"/>
              <w:ind w:left="0"/>
              <w:jc w:val="both"/>
              <w:rPr>
                <w:noProof/>
              </w:rPr>
            </w:pPr>
          </w:p>
          <w:p w14:paraId="122805C4" w14:textId="77777777" w:rsidR="00837644" w:rsidRDefault="00837644" w:rsidP="002763C6">
            <w:pPr>
              <w:pStyle w:val="PargrafodaLista"/>
              <w:spacing w:after="0" w:line="240" w:lineRule="auto"/>
              <w:ind w:left="0"/>
              <w:jc w:val="both"/>
              <w:rPr>
                <w:noProof/>
              </w:rPr>
            </w:pPr>
          </w:p>
          <w:p w14:paraId="25EAC3CB" w14:textId="5D5B49B8" w:rsidR="00837644" w:rsidRPr="002763C6" w:rsidRDefault="00837644" w:rsidP="002763C6">
            <w:pPr>
              <w:pStyle w:val="PargrafodaLista"/>
              <w:spacing w:after="0" w:line="240" w:lineRule="auto"/>
              <w:ind w:left="0"/>
              <w:jc w:val="both"/>
              <w:rPr>
                <w:noProof/>
              </w:rPr>
            </w:pPr>
          </w:p>
        </w:tc>
      </w:tr>
      <w:tr w:rsidR="00CA151C" w:rsidRPr="003227C1" w14:paraId="27B3CB94" w14:textId="77777777" w:rsidTr="00CA151C">
        <w:trPr>
          <w:trHeight w:val="104"/>
        </w:trPr>
        <w:tc>
          <w:tcPr>
            <w:tcW w:w="9061" w:type="dxa"/>
            <w:gridSpan w:val="2"/>
            <w:shd w:val="clear" w:color="auto" w:fill="E7E6E6" w:themeFill="background2"/>
          </w:tcPr>
          <w:p w14:paraId="59EE5806" w14:textId="51C5F6D0" w:rsidR="00CA151C" w:rsidRPr="003227C1" w:rsidRDefault="00CA151C" w:rsidP="00283D3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noProof/>
              </w:rPr>
            </w:pPr>
            <w:r w:rsidRPr="003227C1">
              <w:rPr>
                <w:b/>
                <w:noProof/>
              </w:rPr>
              <w:lastRenderedPageBreak/>
              <w:t>QUANDO INVESTIGAR O RN PARA CMV CONGÊNITO?</w:t>
            </w:r>
          </w:p>
        </w:tc>
      </w:tr>
      <w:tr w:rsidR="00CA151C" w14:paraId="4960809F" w14:textId="77777777" w:rsidTr="001B4D68">
        <w:trPr>
          <w:trHeight w:val="104"/>
        </w:trPr>
        <w:tc>
          <w:tcPr>
            <w:tcW w:w="9061" w:type="dxa"/>
            <w:gridSpan w:val="2"/>
          </w:tcPr>
          <w:p w14:paraId="3C2615DB" w14:textId="3ABAE31C" w:rsidR="004A7DEF" w:rsidRDefault="00CA151C" w:rsidP="00283D30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Diante de um RN com sintomas ou alterações laboratoriais ou de imagem apresentados no item acima, sem outra causa que justifique</w:t>
            </w:r>
          </w:p>
          <w:p w14:paraId="22595032" w14:textId="77777777" w:rsidR="00CA151C" w:rsidRDefault="00CA151C" w:rsidP="00283D30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RN de mãe com CMV suspeita ou conhecida na gestação</w:t>
            </w:r>
          </w:p>
          <w:p w14:paraId="370277E8" w14:textId="77777777" w:rsidR="00CA151C" w:rsidRDefault="00CA151C" w:rsidP="00283D30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RN com imunocomprometimento grave confirmado: SCID</w:t>
            </w:r>
          </w:p>
          <w:p w14:paraId="0350AF44" w14:textId="3FFE850B" w:rsidR="00CA151C" w:rsidRDefault="00CA151C" w:rsidP="00283D30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RN com perda auditiva neurossensorial (PANS) confirmada, mesmo que como achado isolado</w:t>
            </w:r>
            <w:r w:rsidR="004A7DEF">
              <w:rPr>
                <w:noProof/>
              </w:rPr>
              <w:t xml:space="preserve"> (é a principal causa de PANS não hereditária)</w:t>
            </w:r>
          </w:p>
        </w:tc>
      </w:tr>
      <w:tr w:rsidR="004A7DEF" w:rsidRPr="003227C1" w14:paraId="5D3FFD20" w14:textId="77777777" w:rsidTr="004A7DEF">
        <w:trPr>
          <w:trHeight w:val="104"/>
        </w:trPr>
        <w:tc>
          <w:tcPr>
            <w:tcW w:w="9061" w:type="dxa"/>
            <w:gridSpan w:val="2"/>
            <w:shd w:val="clear" w:color="auto" w:fill="E7E6E6" w:themeFill="background2"/>
          </w:tcPr>
          <w:p w14:paraId="763EAB56" w14:textId="3AB12CAC" w:rsidR="004A7DEF" w:rsidRPr="003227C1" w:rsidRDefault="004A7DEF" w:rsidP="00283D3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b/>
                <w:noProof/>
              </w:rPr>
            </w:pPr>
            <w:r w:rsidRPr="003227C1">
              <w:rPr>
                <w:b/>
                <w:noProof/>
              </w:rPr>
              <w:t>COMO CONFIRMAR O DIAGNÓSTICO NOS RN COM SUSPEITA?</w:t>
            </w:r>
            <w:r w:rsidR="00FB4EA4">
              <w:rPr>
                <w:b/>
                <w:noProof/>
                <w:vertAlign w:val="superscript"/>
              </w:rPr>
              <w:t>7</w:t>
            </w:r>
          </w:p>
        </w:tc>
      </w:tr>
      <w:tr w:rsidR="004A7DEF" w14:paraId="1C221995" w14:textId="77777777" w:rsidTr="001B4D68">
        <w:trPr>
          <w:trHeight w:val="104"/>
        </w:trPr>
        <w:tc>
          <w:tcPr>
            <w:tcW w:w="9061" w:type="dxa"/>
            <w:gridSpan w:val="2"/>
          </w:tcPr>
          <w:p w14:paraId="7A129B60" w14:textId="19B966B1" w:rsidR="004A7DEF" w:rsidRDefault="004A7DEF" w:rsidP="004A7DEF">
            <w:pPr>
              <w:spacing w:after="0" w:line="240" w:lineRule="auto"/>
              <w:rPr>
                <w:b/>
                <w:bCs/>
                <w:noProof/>
              </w:rPr>
            </w:pPr>
            <w:r>
              <w:rPr>
                <w:noProof/>
              </w:rPr>
              <w:t xml:space="preserve">          A primeira escolha para confirmação de CMV congênito no RN atualmente é: </w:t>
            </w:r>
            <w:r w:rsidRPr="004A7DEF">
              <w:rPr>
                <w:b/>
                <w:bCs/>
                <w:noProof/>
              </w:rPr>
              <w:t xml:space="preserve">PCR para CMV </w:t>
            </w:r>
            <w:r w:rsidR="00BB03BA">
              <w:rPr>
                <w:b/>
                <w:bCs/>
                <w:noProof/>
              </w:rPr>
              <w:t xml:space="preserve">qualitativo </w:t>
            </w:r>
            <w:r w:rsidRPr="004A7DEF">
              <w:rPr>
                <w:b/>
                <w:bCs/>
                <w:noProof/>
              </w:rPr>
              <w:t>em amostra de urina nas três primeiras semanas de vida.</w:t>
            </w:r>
          </w:p>
          <w:p w14:paraId="466B4425" w14:textId="32477B16" w:rsidR="004A7DEF" w:rsidRPr="004A7DEF" w:rsidRDefault="004A7DEF" w:rsidP="004A7DEF">
            <w:pPr>
              <w:spacing w:after="0" w:line="240" w:lineRule="auto"/>
              <w:jc w:val="both"/>
              <w:rPr>
                <w:i/>
                <w:iCs/>
                <w:noProof/>
              </w:rPr>
            </w:pPr>
            <w:r>
              <w:rPr>
                <w:noProof/>
              </w:rPr>
              <w:t xml:space="preserve">          </w:t>
            </w:r>
            <w:r w:rsidRPr="004A7DEF">
              <w:rPr>
                <w:i/>
                <w:iCs/>
                <w:noProof/>
              </w:rPr>
              <w:t xml:space="preserve">OBS.: caso venha positivo em outros líquidos corporais como </w:t>
            </w:r>
            <w:r w:rsidR="00944A1C">
              <w:rPr>
                <w:i/>
                <w:iCs/>
                <w:noProof/>
              </w:rPr>
              <w:t>saliva ou sangue</w:t>
            </w:r>
            <w:r w:rsidRPr="004A7DEF">
              <w:rPr>
                <w:i/>
                <w:iCs/>
                <w:noProof/>
              </w:rPr>
              <w:t xml:space="preserve"> também é confirmatório, mas não se recomenda coleta nestes líquidos como triagem</w:t>
            </w:r>
            <w:r w:rsidR="00944A1C">
              <w:rPr>
                <w:i/>
                <w:iCs/>
                <w:noProof/>
              </w:rPr>
              <w:t>. Como segunda escolha, pode-se coletar em saliva apenas quando não for possível coletar pela urina.</w:t>
            </w:r>
          </w:p>
        </w:tc>
      </w:tr>
      <w:tr w:rsidR="004A7DEF" w:rsidRPr="003227C1" w14:paraId="19345846" w14:textId="77777777" w:rsidTr="004A7DEF">
        <w:trPr>
          <w:trHeight w:val="104"/>
        </w:trPr>
        <w:tc>
          <w:tcPr>
            <w:tcW w:w="9061" w:type="dxa"/>
            <w:gridSpan w:val="2"/>
            <w:shd w:val="clear" w:color="auto" w:fill="E7E6E6" w:themeFill="background2"/>
          </w:tcPr>
          <w:p w14:paraId="02F2019B" w14:textId="151B7A6B" w:rsidR="004A7DEF" w:rsidRPr="003227C1" w:rsidRDefault="004A7DEF" w:rsidP="00283D3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noProof/>
              </w:rPr>
            </w:pPr>
            <w:r w:rsidRPr="003227C1">
              <w:rPr>
                <w:b/>
                <w:noProof/>
              </w:rPr>
              <w:t>QUAIS SÃO OS EXAMES QUE DEVO SOLICITAR EM TODO RN COM SUSPEITA DE CMV CONGÊNITO</w:t>
            </w:r>
            <w:r w:rsidR="00867FE9" w:rsidRPr="003227C1">
              <w:rPr>
                <w:b/>
                <w:noProof/>
              </w:rPr>
              <w:t xml:space="preserve"> na CSH</w:t>
            </w:r>
            <w:r w:rsidRPr="003227C1">
              <w:rPr>
                <w:b/>
                <w:noProof/>
              </w:rPr>
              <w:t>?</w:t>
            </w:r>
          </w:p>
        </w:tc>
      </w:tr>
      <w:tr w:rsidR="004A7DEF" w14:paraId="13659653" w14:textId="77777777" w:rsidTr="001B4D68">
        <w:trPr>
          <w:trHeight w:val="104"/>
        </w:trPr>
        <w:tc>
          <w:tcPr>
            <w:tcW w:w="9061" w:type="dxa"/>
            <w:gridSpan w:val="2"/>
          </w:tcPr>
          <w:p w14:paraId="60BC8536" w14:textId="1352FC0E" w:rsidR="00867FE9" w:rsidRDefault="00867FE9" w:rsidP="00867FE9">
            <w:pPr>
              <w:pStyle w:val="PargrafodaLista"/>
              <w:spacing w:after="0" w:line="240" w:lineRule="auto"/>
              <w:rPr>
                <w:noProof/>
              </w:rPr>
            </w:pPr>
            <w:r>
              <w:rPr>
                <w:noProof/>
              </w:rPr>
              <w:t>Não se esquecer de examinar bem e registrar em prontuário os achados de exame físico: perímetro cefálico, hepatimetria, sobre icterícia, petéquias, etc.</w:t>
            </w:r>
          </w:p>
          <w:p w14:paraId="4CA410BF" w14:textId="69A53796" w:rsidR="004A7DEF" w:rsidRDefault="00867FE9" w:rsidP="00283D3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PCR para CMV </w:t>
            </w:r>
            <w:r w:rsidR="00BB03BA">
              <w:rPr>
                <w:noProof/>
              </w:rPr>
              <w:t xml:space="preserve">QUALITATIVO </w:t>
            </w:r>
            <w:r>
              <w:rPr>
                <w:noProof/>
              </w:rPr>
              <w:t>em amostra de urina</w:t>
            </w:r>
          </w:p>
          <w:p w14:paraId="60F312E0" w14:textId="77777777" w:rsidR="00867FE9" w:rsidRDefault="00867FE9" w:rsidP="00283D3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Hemograma</w:t>
            </w:r>
          </w:p>
          <w:p w14:paraId="0FDFC1D5" w14:textId="77777777" w:rsidR="00867FE9" w:rsidRDefault="00867FE9" w:rsidP="00283D3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TGO/TGP</w:t>
            </w:r>
          </w:p>
          <w:p w14:paraId="384A83F3" w14:textId="170B1D19" w:rsidR="00867FE9" w:rsidRDefault="00867FE9" w:rsidP="00283D3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BTF</w:t>
            </w:r>
          </w:p>
          <w:p w14:paraId="2068193B" w14:textId="440C432D" w:rsidR="00867FE9" w:rsidRDefault="00867FE9" w:rsidP="00283D3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Fundoscopia por oftalmologista</w:t>
            </w:r>
          </w:p>
          <w:p w14:paraId="2579DF14" w14:textId="5AC099D2" w:rsidR="00867FE9" w:rsidRDefault="00867FE9" w:rsidP="00283D3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USG Transfontanelar</w:t>
            </w:r>
          </w:p>
          <w:p w14:paraId="2BA95EF1" w14:textId="77777777" w:rsidR="00867FE9" w:rsidRDefault="00867FE9" w:rsidP="00283D3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BERA (pode ser realizado ambulatorialmente)</w:t>
            </w:r>
          </w:p>
          <w:p w14:paraId="3960C632" w14:textId="77777777" w:rsidR="00867FE9" w:rsidRDefault="00867FE9" w:rsidP="00283D3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Ecocardiograma: apenas se tiver suspeita de miocardite (ICC, sopro ou arritmia)</w:t>
            </w:r>
          </w:p>
          <w:p w14:paraId="7F444116" w14:textId="77777777" w:rsidR="00BB03BA" w:rsidRDefault="00867FE9" w:rsidP="00BB03BA">
            <w:pPr>
              <w:pStyle w:val="PargrafodaLista"/>
              <w:spacing w:after="0" w:line="240" w:lineRule="auto"/>
              <w:rPr>
                <w:b/>
                <w:bCs/>
                <w:noProof/>
              </w:rPr>
            </w:pPr>
            <w:r w:rsidRPr="00867FE9">
              <w:rPr>
                <w:b/>
                <w:bCs/>
                <w:noProof/>
              </w:rPr>
              <w:t>ATENÇÃO: a sorologia IgM e IgG para CMV no sangue NÃO É RECOMENDADA PARA RECÉM-NASCIDO (baixa sensibilidade e especificidade)</w:t>
            </w:r>
          </w:p>
          <w:p w14:paraId="2A2C9CE0" w14:textId="5E9B0701" w:rsidR="00BB03BA" w:rsidRDefault="00BB03BA" w:rsidP="00BB03BA">
            <w:pPr>
              <w:pStyle w:val="PargrafodaLista"/>
              <w:spacing w:after="0" w:line="240" w:lineRule="auto"/>
              <w:rPr>
                <w:b/>
                <w:bCs/>
                <w:noProof/>
              </w:rPr>
            </w:pPr>
          </w:p>
          <w:p w14:paraId="7C68AA38" w14:textId="035F487A" w:rsidR="0009371D" w:rsidRDefault="0009371D" w:rsidP="0009371D">
            <w:pPr>
              <w:pStyle w:val="PargrafodaLista"/>
              <w:spacing w:after="0" w:line="240" w:lineRule="auto"/>
              <w:ind w:left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SITUAÇÕES ESPECIAIS:</w:t>
            </w:r>
          </w:p>
          <w:p w14:paraId="2A549E7E" w14:textId="77777777" w:rsidR="00BB03BA" w:rsidRPr="00BB03BA" w:rsidRDefault="00BB03BA" w:rsidP="00283D3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bCs/>
                <w:noProof/>
              </w:rPr>
            </w:pPr>
            <w:r>
              <w:rPr>
                <w:noProof/>
              </w:rPr>
              <w:t>RNM de crânio: solicitar somente naqueles casos que vierem com infecção por CMV confirmada pelo PCR da urina. Demonstra alteração em até 80% dos RN com infecção até 2 anos de idade.</w:t>
            </w:r>
          </w:p>
          <w:p w14:paraId="7D933502" w14:textId="0AA7B36D" w:rsidR="00BB03BA" w:rsidRPr="00BB03BA" w:rsidRDefault="00BB03BA" w:rsidP="00283D3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noProof/>
                <w:u w:val="single"/>
              </w:rPr>
            </w:pPr>
            <w:r w:rsidRPr="00BB03BA">
              <w:rPr>
                <w:noProof/>
                <w:u w:val="single"/>
              </w:rPr>
              <w:t>PCR para CMV QUANTITATIVO no sangue:</w:t>
            </w:r>
            <w:r w:rsidR="0009371D">
              <w:rPr>
                <w:noProof/>
                <w:u w:val="single"/>
              </w:rPr>
              <w:t xml:space="preserve"> </w:t>
            </w:r>
            <w:r w:rsidR="0009371D">
              <w:rPr>
                <w:noProof/>
              </w:rPr>
              <w:t>não solicitar para diagnóstico, somente solicitar naqueles pacientes que iniciarão o tratamento com ganciclovir para seguimento e prognóstico (menor viremia vai sugerir melhor prognóstico a longo prazo)</w:t>
            </w:r>
          </w:p>
        </w:tc>
      </w:tr>
      <w:tr w:rsidR="00867FE9" w:rsidRPr="003227C1" w14:paraId="2D21DA9C" w14:textId="77777777" w:rsidTr="00867FE9">
        <w:trPr>
          <w:trHeight w:val="104"/>
        </w:trPr>
        <w:tc>
          <w:tcPr>
            <w:tcW w:w="9061" w:type="dxa"/>
            <w:gridSpan w:val="2"/>
            <w:shd w:val="clear" w:color="auto" w:fill="E7E6E6" w:themeFill="background2"/>
          </w:tcPr>
          <w:p w14:paraId="5467CC9F" w14:textId="68A9ABFF" w:rsidR="00867FE9" w:rsidRPr="003227C1" w:rsidRDefault="00867FE9" w:rsidP="00283D3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noProof/>
              </w:rPr>
            </w:pPr>
            <w:r w:rsidRPr="003227C1">
              <w:rPr>
                <w:rFonts w:asciiTheme="minorHAnsi" w:hAnsiTheme="minorHAnsi" w:cstheme="minorHAnsi"/>
                <w:b/>
                <w:noProof/>
              </w:rPr>
              <w:t>E A COLETA DE LÍQUOR?</w:t>
            </w:r>
            <w:r w:rsidR="00FB4EA4">
              <w:rPr>
                <w:rFonts w:asciiTheme="minorHAnsi" w:hAnsiTheme="minorHAnsi" w:cstheme="minorHAnsi"/>
                <w:b/>
                <w:noProof/>
                <w:vertAlign w:val="superscript"/>
              </w:rPr>
              <w:t>6</w:t>
            </w:r>
          </w:p>
        </w:tc>
      </w:tr>
      <w:tr w:rsidR="00867FE9" w14:paraId="6BEF99A2" w14:textId="77777777" w:rsidTr="00867FE9">
        <w:trPr>
          <w:trHeight w:val="489"/>
        </w:trPr>
        <w:tc>
          <w:tcPr>
            <w:tcW w:w="9061" w:type="dxa"/>
            <w:gridSpan w:val="2"/>
          </w:tcPr>
          <w:p w14:paraId="09E39725" w14:textId="3E85B8E6" w:rsidR="00867FE9" w:rsidRPr="00E116E6" w:rsidRDefault="00867FE9" w:rsidP="00867FE9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116E6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         NÃO SE RECOMENDA MAIS a coleta </w:t>
            </w:r>
            <w:r w:rsidR="00671FEC">
              <w:rPr>
                <w:rFonts w:asciiTheme="minorHAnsi" w:hAnsiTheme="minorHAnsi" w:cstheme="minorHAnsi"/>
                <w:color w:val="000000" w:themeColor="text1"/>
              </w:rPr>
              <w:t>ROTINEIRA para TRIAGEM</w:t>
            </w:r>
            <w:r w:rsidRPr="00E116E6">
              <w:rPr>
                <w:rFonts w:asciiTheme="minorHAnsi" w:hAnsiTheme="minorHAnsi" w:cstheme="minorHAnsi"/>
                <w:color w:val="000000" w:themeColor="text1"/>
              </w:rPr>
              <w:t xml:space="preserve"> em RN com suspeita para CMV. </w:t>
            </w:r>
            <w:r w:rsidR="00671FEC">
              <w:rPr>
                <w:rFonts w:asciiTheme="minorHAnsi" w:hAnsiTheme="minorHAnsi" w:cstheme="minorHAnsi"/>
                <w:color w:val="000000" w:themeColor="text1"/>
              </w:rPr>
              <w:t xml:space="preserve">       </w:t>
            </w:r>
            <w:r w:rsidRPr="00E116E6">
              <w:rPr>
                <w:rFonts w:asciiTheme="minorHAnsi" w:hAnsiTheme="minorHAnsi" w:cstheme="minorHAnsi"/>
                <w:color w:val="000000" w:themeColor="text1"/>
              </w:rPr>
              <w:t xml:space="preserve">A positividade no </w:t>
            </w:r>
            <w:proofErr w:type="spellStart"/>
            <w:r w:rsidRPr="00E116E6">
              <w:rPr>
                <w:rFonts w:asciiTheme="minorHAnsi" w:hAnsiTheme="minorHAnsi" w:cstheme="minorHAnsi"/>
                <w:color w:val="000000" w:themeColor="text1"/>
              </w:rPr>
              <w:t>líquor</w:t>
            </w:r>
            <w:proofErr w:type="spellEnd"/>
            <w:r w:rsidRPr="00E116E6">
              <w:rPr>
                <w:rFonts w:asciiTheme="minorHAnsi" w:hAnsiTheme="minorHAnsi" w:cstheme="minorHAnsi"/>
                <w:color w:val="000000" w:themeColor="text1"/>
              </w:rPr>
              <w:t xml:space="preserve"> é MUITO baixa, mesmo nos RN sintomáticos (apenas 15% dos RN com CMV sintomáticos vem positivos). Nos assintomáticos é ainda mais baixo (6%). </w:t>
            </w:r>
          </w:p>
          <w:p w14:paraId="0B98FD2B" w14:textId="77777777" w:rsidR="003227C1" w:rsidRDefault="00867FE9" w:rsidP="00867FE9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116E6">
              <w:rPr>
                <w:rFonts w:asciiTheme="minorHAnsi" w:hAnsiTheme="minorHAnsi" w:cstheme="minorHAnsi"/>
                <w:color w:val="000000" w:themeColor="text1"/>
              </w:rPr>
              <w:t xml:space="preserve">         Além da baixa positividade, um resultado positivo não muda em nada o tratamento, nem tão pouco é um marcador de prognóstico (não foram encontradas diferenças nos estudos de </w:t>
            </w:r>
            <w:proofErr w:type="spellStart"/>
            <w:r w:rsidRPr="00E116E6">
              <w:rPr>
                <w:rFonts w:asciiTheme="minorHAnsi" w:hAnsiTheme="minorHAnsi" w:cstheme="minorHAnsi"/>
                <w:color w:val="000000" w:themeColor="text1"/>
              </w:rPr>
              <w:t>neuroimagem</w:t>
            </w:r>
            <w:proofErr w:type="spellEnd"/>
            <w:r w:rsidRPr="00E116E6">
              <w:rPr>
                <w:rFonts w:asciiTheme="minorHAnsi" w:hAnsiTheme="minorHAnsi" w:cstheme="minorHAnsi"/>
                <w:color w:val="000000" w:themeColor="text1"/>
              </w:rPr>
              <w:t>, carga viral plasmática ou evolução neurológica</w:t>
            </w:r>
            <w:r w:rsidR="005609C6" w:rsidRPr="00E116E6">
              <w:rPr>
                <w:rFonts w:asciiTheme="minorHAnsi" w:hAnsiTheme="minorHAnsi" w:cstheme="minorHAnsi"/>
                <w:color w:val="000000" w:themeColor="text1"/>
              </w:rPr>
              <w:t xml:space="preserve"> pior nos pacientes com resultados positivos ao se acompanhar por </w:t>
            </w:r>
            <w:r w:rsidRPr="00E116E6">
              <w:rPr>
                <w:rFonts w:asciiTheme="minorHAnsi" w:hAnsiTheme="minorHAnsi" w:cstheme="minorHAnsi"/>
                <w:color w:val="000000" w:themeColor="text1"/>
              </w:rPr>
              <w:t>6 meses</w:t>
            </w:r>
            <w:r w:rsidR="005609C6" w:rsidRPr="00E116E6">
              <w:rPr>
                <w:rFonts w:asciiTheme="minorHAnsi" w:hAnsiTheme="minorHAnsi" w:cstheme="minorHAnsi"/>
                <w:color w:val="000000" w:themeColor="text1"/>
              </w:rPr>
              <w:t xml:space="preserve">, em comparação com os de resultados negativos no </w:t>
            </w:r>
            <w:proofErr w:type="spellStart"/>
            <w:r w:rsidR="005609C6" w:rsidRPr="00E116E6">
              <w:rPr>
                <w:rFonts w:asciiTheme="minorHAnsi" w:hAnsiTheme="minorHAnsi" w:cstheme="minorHAnsi"/>
                <w:color w:val="000000" w:themeColor="text1"/>
              </w:rPr>
              <w:t>líquor</w:t>
            </w:r>
            <w:proofErr w:type="spellEnd"/>
            <w:r w:rsidR="005609C6" w:rsidRPr="00E116E6">
              <w:rPr>
                <w:rFonts w:asciiTheme="minorHAnsi" w:hAnsiTheme="minorHAnsi" w:cstheme="minorHAnsi"/>
                <w:color w:val="000000" w:themeColor="text1"/>
              </w:rPr>
              <w:t>).</w:t>
            </w:r>
          </w:p>
          <w:p w14:paraId="6B886DF7" w14:textId="5F1FC76B" w:rsidR="00867FE9" w:rsidRPr="00E116E6" w:rsidRDefault="00671FEC" w:rsidP="00671FEC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       Por fim, recomendamos que na CSH </w:t>
            </w:r>
            <w:r w:rsidRPr="00671FEC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a </w:t>
            </w:r>
            <w:r w:rsidR="003227C1" w:rsidRPr="00671FEC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coleta de </w:t>
            </w:r>
            <w:proofErr w:type="spellStart"/>
            <w:r w:rsidR="003227C1" w:rsidRPr="00671FEC">
              <w:rPr>
                <w:rFonts w:asciiTheme="minorHAnsi" w:hAnsiTheme="minorHAnsi" w:cstheme="minorHAnsi"/>
                <w:b/>
                <w:i/>
                <w:color w:val="000000" w:themeColor="text1"/>
              </w:rPr>
              <w:t>líquor</w:t>
            </w:r>
            <w:proofErr w:type="spellEnd"/>
            <w:r w:rsidR="003227C1" w:rsidRPr="00671FEC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seja realizada apenas nos</w:t>
            </w:r>
            <w:r w:rsidR="005609C6" w:rsidRPr="00671FEC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</w:t>
            </w:r>
            <w:r w:rsidR="00A631DC" w:rsidRPr="00671FEC">
              <w:rPr>
                <w:rFonts w:asciiTheme="minorHAnsi" w:hAnsiTheme="minorHAnsi" w:cstheme="minorHAnsi"/>
                <w:b/>
                <w:i/>
                <w:color w:val="000000" w:themeColor="text1"/>
              </w:rPr>
              <w:t>RN com alguma alteração neurológica</w:t>
            </w:r>
            <w:r>
              <w:rPr>
                <w:rFonts w:asciiTheme="minorHAnsi" w:hAnsiTheme="minorHAnsi" w:cstheme="minorHAnsi"/>
                <w:color w:val="000000" w:themeColor="text1"/>
              </w:rPr>
              <w:t>, conforme sugestão de</w:t>
            </w:r>
            <w:r w:rsidR="00A631DC">
              <w:rPr>
                <w:rFonts w:asciiTheme="minorHAnsi" w:hAnsiTheme="minorHAnsi" w:cstheme="minorHAnsi"/>
                <w:color w:val="000000" w:themeColor="text1"/>
              </w:rPr>
              <w:t xml:space="preserve"> especialistas.</w:t>
            </w:r>
          </w:p>
        </w:tc>
      </w:tr>
      <w:tr w:rsidR="00BB03BA" w:rsidRPr="003227C1" w14:paraId="4E7F463E" w14:textId="77777777" w:rsidTr="00944A1C">
        <w:trPr>
          <w:trHeight w:val="94"/>
        </w:trPr>
        <w:tc>
          <w:tcPr>
            <w:tcW w:w="9061" w:type="dxa"/>
            <w:gridSpan w:val="2"/>
            <w:shd w:val="clear" w:color="auto" w:fill="E7E6E6" w:themeFill="background2"/>
          </w:tcPr>
          <w:p w14:paraId="3509A803" w14:textId="2E2E8F2A" w:rsidR="00BB03BA" w:rsidRPr="003227C1" w:rsidRDefault="00E116E6" w:rsidP="00283D3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27C1">
              <w:rPr>
                <w:rFonts w:asciiTheme="minorHAnsi" w:hAnsiTheme="minorHAnsi" w:cstheme="minorHAnsi"/>
                <w:b/>
                <w:color w:val="000000" w:themeColor="text1"/>
              </w:rPr>
              <w:t>QUAIS AS OUTRAS POSSIBILIDADES DEVEM SER PENSADAS NO DIAGNÓSTICO DIFERENCIAL?</w:t>
            </w:r>
          </w:p>
        </w:tc>
      </w:tr>
      <w:tr w:rsidR="00BB03BA" w14:paraId="1508656D" w14:textId="77777777" w:rsidTr="00BB03BA">
        <w:trPr>
          <w:trHeight w:val="94"/>
        </w:trPr>
        <w:tc>
          <w:tcPr>
            <w:tcW w:w="9061" w:type="dxa"/>
            <w:gridSpan w:val="2"/>
          </w:tcPr>
          <w:p w14:paraId="714BE3B9" w14:textId="77777777" w:rsidR="00BB03BA" w:rsidRDefault="00E116E6" w:rsidP="00BB03BA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116E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          Como o quadro é inespecífico, não se esquecer de:</w:t>
            </w:r>
          </w:p>
          <w:p w14:paraId="17771FA8" w14:textId="77777777" w:rsidR="00E116E6" w:rsidRPr="00E116E6" w:rsidRDefault="00E116E6" w:rsidP="00283D30">
            <w:pPr>
              <w:pStyle w:val="PargrafodaLista"/>
              <w:numPr>
                <w:ilvl w:val="0"/>
                <w:numId w:val="8"/>
              </w:numPr>
              <w:spacing w:before="100" w:after="10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116E6">
              <w:rPr>
                <w:rFonts w:asciiTheme="minorHAnsi" w:hAnsiTheme="minorHAnsi" w:cstheme="minorHAnsi"/>
                <w:sz w:val="18"/>
                <w:szCs w:val="18"/>
              </w:rPr>
              <w:t xml:space="preserve">Outras infecções por TORCH (incluindo toxoplasmose, </w:t>
            </w:r>
            <w:proofErr w:type="gramStart"/>
            <w:r w:rsidRPr="00E116E6">
              <w:rPr>
                <w:rFonts w:asciiTheme="minorHAnsi" w:hAnsiTheme="minorHAnsi" w:cstheme="minorHAnsi"/>
                <w:sz w:val="18"/>
                <w:szCs w:val="18"/>
              </w:rPr>
              <w:t>rubéola ,</w:t>
            </w:r>
            <w:proofErr w:type="gramEnd"/>
            <w:r w:rsidRPr="00E116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116E6">
              <w:rPr>
                <w:rFonts w:asciiTheme="minorHAnsi" w:hAnsiTheme="minorHAnsi" w:cstheme="minorHAnsi"/>
                <w:sz w:val="18"/>
                <w:szCs w:val="18"/>
              </w:rPr>
              <w:t>zika</w:t>
            </w:r>
            <w:proofErr w:type="spellEnd"/>
            <w:r w:rsidRPr="00E116E6">
              <w:rPr>
                <w:rFonts w:asciiTheme="minorHAnsi" w:hAnsiTheme="minorHAnsi" w:cstheme="minorHAnsi"/>
                <w:sz w:val="18"/>
                <w:szCs w:val="18"/>
              </w:rPr>
              <w:t xml:space="preserve"> vírus, hepatite A, hepatite B, hepatite C, vírus Epstein-</w:t>
            </w:r>
            <w:proofErr w:type="spellStart"/>
            <w:r w:rsidRPr="00E116E6">
              <w:rPr>
                <w:rFonts w:asciiTheme="minorHAnsi" w:hAnsiTheme="minorHAnsi" w:cstheme="minorHAnsi"/>
                <w:sz w:val="18"/>
                <w:szCs w:val="18"/>
              </w:rPr>
              <w:t>Barr</w:t>
            </w:r>
            <w:proofErr w:type="spellEnd"/>
            <w:r w:rsidRPr="00E116E6">
              <w:rPr>
                <w:rFonts w:asciiTheme="minorHAnsi" w:hAnsiTheme="minorHAnsi" w:cstheme="minorHAnsi"/>
                <w:sz w:val="18"/>
                <w:szCs w:val="18"/>
              </w:rPr>
              <w:t xml:space="preserve">, vírus herpes simplex 1 e 2, </w:t>
            </w:r>
            <w:proofErr w:type="spellStart"/>
            <w:r w:rsidRPr="00E116E6">
              <w:rPr>
                <w:rFonts w:asciiTheme="minorHAnsi" w:hAnsiTheme="minorHAnsi" w:cstheme="minorHAnsi"/>
                <w:sz w:val="18"/>
                <w:szCs w:val="18"/>
              </w:rPr>
              <w:t>enterovírus</w:t>
            </w:r>
            <w:proofErr w:type="spellEnd"/>
            <w:r w:rsidRPr="00E116E6">
              <w:rPr>
                <w:rFonts w:asciiTheme="minorHAnsi" w:hAnsiTheme="minorHAnsi" w:cstheme="minorHAnsi"/>
                <w:sz w:val="18"/>
                <w:szCs w:val="18"/>
              </w:rPr>
              <w:t xml:space="preserve">, adenovírus). Realizar </w:t>
            </w:r>
            <w:proofErr w:type="spellStart"/>
            <w:r w:rsidRPr="00E116E6">
              <w:rPr>
                <w:rFonts w:asciiTheme="minorHAnsi" w:hAnsiTheme="minorHAnsi" w:cstheme="minorHAnsi"/>
                <w:sz w:val="18"/>
                <w:szCs w:val="18"/>
              </w:rPr>
              <w:t>sorologisas</w:t>
            </w:r>
            <w:proofErr w:type="spellEnd"/>
            <w:r w:rsidRPr="00E116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0063BEF" w14:textId="77777777" w:rsidR="00E116E6" w:rsidRPr="00E116E6" w:rsidRDefault="00E116E6" w:rsidP="00283D30">
            <w:pPr>
              <w:pStyle w:val="PargrafodaLista"/>
              <w:numPr>
                <w:ilvl w:val="0"/>
                <w:numId w:val="8"/>
              </w:numPr>
              <w:spacing w:before="100" w:after="10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116E6">
              <w:rPr>
                <w:rFonts w:asciiTheme="minorHAnsi" w:hAnsiTheme="minorHAnsi" w:cstheme="minorHAnsi"/>
                <w:sz w:val="18"/>
                <w:szCs w:val="18"/>
              </w:rPr>
              <w:t xml:space="preserve">Sepse neonatal </w:t>
            </w:r>
          </w:p>
          <w:p w14:paraId="1A3619BE" w14:textId="77777777" w:rsidR="00E116E6" w:rsidRPr="00E116E6" w:rsidRDefault="00E116E6" w:rsidP="00283D30">
            <w:pPr>
              <w:pStyle w:val="PargrafodaLista"/>
              <w:numPr>
                <w:ilvl w:val="0"/>
                <w:numId w:val="8"/>
              </w:numPr>
              <w:spacing w:before="100" w:after="10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116E6">
              <w:rPr>
                <w:rFonts w:asciiTheme="minorHAnsi" w:hAnsiTheme="minorHAnsi" w:cstheme="minorHAnsi"/>
                <w:sz w:val="18"/>
                <w:szCs w:val="18"/>
              </w:rPr>
              <w:t>Distúrbios genéticos e metabólicos (excluir erros inatos do metabolismo e surdez congênita)</w:t>
            </w:r>
          </w:p>
          <w:p w14:paraId="2886404D" w14:textId="77777777" w:rsidR="00E116E6" w:rsidRPr="00E116E6" w:rsidRDefault="00E116E6" w:rsidP="00283D30">
            <w:pPr>
              <w:pStyle w:val="PargrafodaLista"/>
              <w:numPr>
                <w:ilvl w:val="0"/>
                <w:numId w:val="8"/>
              </w:numPr>
              <w:spacing w:before="100" w:after="10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116E6">
              <w:rPr>
                <w:rFonts w:asciiTheme="minorHAnsi" w:hAnsiTheme="minorHAnsi" w:cstheme="minorHAnsi"/>
                <w:sz w:val="18"/>
                <w:szCs w:val="18"/>
              </w:rPr>
              <w:t xml:space="preserve">Exposição in </w:t>
            </w:r>
            <w:proofErr w:type="spellStart"/>
            <w:r w:rsidRPr="00E116E6">
              <w:rPr>
                <w:rFonts w:asciiTheme="minorHAnsi" w:hAnsiTheme="minorHAnsi" w:cstheme="minorHAnsi"/>
                <w:sz w:val="18"/>
                <w:szCs w:val="18"/>
              </w:rPr>
              <w:t>utero</w:t>
            </w:r>
            <w:proofErr w:type="spellEnd"/>
            <w:r w:rsidRPr="00E116E6">
              <w:rPr>
                <w:rFonts w:asciiTheme="minorHAnsi" w:hAnsiTheme="minorHAnsi" w:cstheme="minorHAnsi"/>
                <w:sz w:val="18"/>
                <w:szCs w:val="18"/>
              </w:rPr>
              <w:t xml:space="preserve"> a drogas e toxinas (por exemplo, álcool, cocaína, </w:t>
            </w:r>
            <w:hyperlink r:id="rId8" w:history="1">
              <w:proofErr w:type="spellStart"/>
              <w:r w:rsidRPr="00E116E6"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  <w:u w:val="single"/>
                </w:rPr>
                <w:t>isotretinoína</w:t>
              </w:r>
              <w:proofErr w:type="spellEnd"/>
            </w:hyperlink>
            <w:r w:rsidRPr="00E116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116E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CAC9CCE" w14:textId="2AF62FC0" w:rsidR="00E116E6" w:rsidRPr="00E116E6" w:rsidRDefault="00E116E6" w:rsidP="00283D30">
            <w:pPr>
              <w:pStyle w:val="PargrafodaLista"/>
              <w:numPr>
                <w:ilvl w:val="0"/>
                <w:numId w:val="8"/>
              </w:numPr>
              <w:spacing w:before="100" w:after="10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116E6">
              <w:rPr>
                <w:rFonts w:asciiTheme="minorHAnsi" w:hAnsiTheme="minorHAnsi" w:cstheme="minorHAnsi"/>
                <w:sz w:val="18"/>
                <w:szCs w:val="18"/>
              </w:rPr>
              <w:t xml:space="preserve">Outras causas de  disfunção hepática persistente como </w:t>
            </w:r>
            <w:proofErr w:type="spellStart"/>
            <w:r w:rsidRPr="00E116E6">
              <w:rPr>
                <w:rFonts w:asciiTheme="minorHAnsi" w:hAnsiTheme="minorHAnsi" w:cstheme="minorHAnsi"/>
                <w:sz w:val="18"/>
                <w:szCs w:val="18"/>
              </w:rPr>
              <w:t>atresia</w:t>
            </w:r>
            <w:proofErr w:type="spellEnd"/>
            <w:r w:rsidRPr="00E116E6">
              <w:rPr>
                <w:rFonts w:asciiTheme="minorHAnsi" w:hAnsiTheme="minorHAnsi" w:cstheme="minorHAnsi"/>
                <w:sz w:val="18"/>
                <w:szCs w:val="18"/>
              </w:rPr>
              <w:t xml:space="preserve"> biliar ou deficiência de alfa 1-antitripsina, uma vez que o CMV pode coexistir com outros distúrbios da função hepática.</w:t>
            </w:r>
          </w:p>
        </w:tc>
      </w:tr>
      <w:tr w:rsidR="00944A1C" w:rsidRPr="003227C1" w14:paraId="2771E037" w14:textId="77777777" w:rsidTr="00944A1C">
        <w:trPr>
          <w:trHeight w:val="94"/>
        </w:trPr>
        <w:tc>
          <w:tcPr>
            <w:tcW w:w="9061" w:type="dxa"/>
            <w:gridSpan w:val="2"/>
            <w:shd w:val="clear" w:color="auto" w:fill="E7E6E6" w:themeFill="background2"/>
          </w:tcPr>
          <w:p w14:paraId="65CA92E2" w14:textId="691A21D0" w:rsidR="00944A1C" w:rsidRPr="003227C1" w:rsidRDefault="00944A1C" w:rsidP="00283D3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27C1">
              <w:rPr>
                <w:rFonts w:asciiTheme="minorHAnsi" w:hAnsiTheme="minorHAnsi" w:cstheme="minorHAnsi"/>
                <w:b/>
                <w:color w:val="000000" w:themeColor="text1"/>
              </w:rPr>
              <w:t>COMO CLASSIFICAR O RN, BASEADO NA HISTÓRIA</w:t>
            </w:r>
            <w:r w:rsidR="003717F1" w:rsidRPr="003227C1">
              <w:rPr>
                <w:rFonts w:asciiTheme="minorHAnsi" w:hAnsiTheme="minorHAnsi" w:cstheme="minorHAnsi"/>
                <w:b/>
                <w:color w:val="000000" w:themeColor="text1"/>
              </w:rPr>
              <w:t>, ÉPOCA DE COLETA</w:t>
            </w:r>
            <w:r w:rsidRPr="003227C1">
              <w:rPr>
                <w:rFonts w:asciiTheme="minorHAnsi" w:hAnsiTheme="minorHAnsi" w:cstheme="minorHAnsi"/>
                <w:b/>
                <w:color w:val="000000" w:themeColor="text1"/>
              </w:rPr>
              <w:t xml:space="preserve"> E RESULTADOS?</w:t>
            </w:r>
          </w:p>
        </w:tc>
      </w:tr>
      <w:tr w:rsidR="00944A1C" w14:paraId="54FBDF39" w14:textId="77777777" w:rsidTr="00752652">
        <w:trPr>
          <w:trHeight w:val="1911"/>
        </w:trPr>
        <w:tc>
          <w:tcPr>
            <w:tcW w:w="9061" w:type="dxa"/>
            <w:gridSpan w:val="2"/>
          </w:tcPr>
          <w:p w14:paraId="51134F89" w14:textId="6A331C29" w:rsidR="00944A1C" w:rsidRPr="00944A1C" w:rsidRDefault="00944A1C" w:rsidP="00283D30">
            <w:pPr>
              <w:pStyle w:val="PargrafodaLista"/>
              <w:numPr>
                <w:ilvl w:val="0"/>
                <w:numId w:val="12"/>
              </w:numPr>
              <w:spacing w:before="100" w:after="1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Pr="00944A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NFECÇÃO CONGÊNITA POR CMV COMPROVADA VIROLOGICAMENTE</w:t>
            </w:r>
            <w:r w:rsidR="00242B0A">
              <w:rPr>
                <w:rFonts w:asciiTheme="minorHAnsi" w:hAnsiTheme="minorHAnsi" w:cstheme="minorHAnsi"/>
                <w:sz w:val="20"/>
                <w:szCs w:val="20"/>
              </w:rPr>
              <w:t xml:space="preserve">: detecção molecular do </w:t>
            </w:r>
            <w:r w:rsidRPr="00944A1C">
              <w:rPr>
                <w:rFonts w:asciiTheme="minorHAnsi" w:hAnsiTheme="minorHAnsi" w:cstheme="minorHAnsi"/>
                <w:sz w:val="20"/>
                <w:szCs w:val="20"/>
              </w:rPr>
              <w:t>CMV positivo (por meio de PCR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urina</w:t>
            </w:r>
            <w:r w:rsidRPr="00944A1C">
              <w:rPr>
                <w:rFonts w:asciiTheme="minorHAnsi" w:hAnsiTheme="minorHAnsi" w:cstheme="minorHAnsi"/>
                <w:sz w:val="20"/>
                <w:szCs w:val="20"/>
              </w:rPr>
              <w:t>, coletado nas primeiras três semanas de vida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).</w:t>
            </w:r>
            <w:r w:rsidRPr="00944A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DF1AFA" w14:textId="43687FBD" w:rsidR="00944A1C" w:rsidRPr="00944A1C" w:rsidRDefault="003717F1" w:rsidP="00283D30">
            <w:pPr>
              <w:pStyle w:val="PargrafodaLista"/>
              <w:numPr>
                <w:ilvl w:val="0"/>
                <w:numId w:val="12"/>
              </w:num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4A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POSSÍVEL INFECÇÃO CONGÊNITA POR CMV: </w:t>
            </w:r>
            <w:r w:rsidR="00944A1C" w:rsidRPr="00944A1C">
              <w:rPr>
                <w:rFonts w:asciiTheme="minorHAnsi" w:hAnsiTheme="minorHAnsi" w:cstheme="minorHAnsi"/>
                <w:sz w:val="20"/>
                <w:szCs w:val="20"/>
              </w:rPr>
              <w:t>cl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</w:t>
            </w:r>
            <w:r w:rsidR="00944A1C" w:rsidRPr="00944A1C">
              <w:rPr>
                <w:rFonts w:asciiTheme="minorHAnsi" w:hAnsiTheme="minorHAnsi" w:cstheme="minorHAnsi"/>
                <w:sz w:val="20"/>
                <w:szCs w:val="20"/>
              </w:rPr>
              <w:t xml:space="preserve">nica sugestiva de infecção por CMV neonatal, associado ao isolamento ou detecção </w:t>
            </w:r>
            <w:r w:rsidR="00752652">
              <w:rPr>
                <w:rFonts w:asciiTheme="minorHAnsi" w:hAnsiTheme="minorHAnsi" w:cstheme="minorHAnsi"/>
                <w:sz w:val="20"/>
                <w:szCs w:val="20"/>
              </w:rPr>
              <w:t>do CMV pelo PCR na urina,</w:t>
            </w:r>
            <w:r w:rsidR="00944A1C" w:rsidRPr="00944A1C">
              <w:rPr>
                <w:rFonts w:asciiTheme="minorHAnsi" w:hAnsiTheme="minorHAnsi" w:cstheme="minorHAnsi"/>
                <w:sz w:val="20"/>
                <w:szCs w:val="20"/>
              </w:rPr>
              <w:t xml:space="preserve"> coletado após 3 semanas de vida até um ano de idade.</w:t>
            </w:r>
          </w:p>
          <w:p w14:paraId="3942DBED" w14:textId="5F7025C0" w:rsidR="00944A1C" w:rsidRPr="00752652" w:rsidRDefault="003717F1" w:rsidP="00752652">
            <w:pPr>
              <w:pStyle w:val="PargrafodaLista"/>
              <w:numPr>
                <w:ilvl w:val="0"/>
                <w:numId w:val="12"/>
              </w:numPr>
              <w:spacing w:before="100" w:after="10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4A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NÃO INFECTADO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944A1C" w:rsidRPr="00944A1C">
              <w:rPr>
                <w:rFonts w:asciiTheme="minorHAnsi" w:hAnsiTheme="minorHAnsi" w:cstheme="minorHAnsi"/>
                <w:sz w:val="20"/>
                <w:szCs w:val="20"/>
              </w:rPr>
              <w:t xml:space="preserve"> bebês nos quais o CMV não é detectado na urina </w:t>
            </w:r>
            <w:r w:rsidR="00242B0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44A1C" w:rsidRPr="00944A1C">
              <w:rPr>
                <w:rFonts w:asciiTheme="minorHAnsi" w:hAnsiTheme="minorHAnsi" w:cstheme="minorHAnsi"/>
                <w:sz w:val="20"/>
                <w:szCs w:val="20"/>
              </w:rPr>
              <w:t>ou saliva</w:t>
            </w:r>
            <w:r w:rsidR="00242B0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752652">
              <w:rPr>
                <w:rFonts w:asciiTheme="minorHAnsi" w:hAnsiTheme="minorHAnsi" w:cstheme="minorHAnsi"/>
                <w:sz w:val="20"/>
                <w:szCs w:val="20"/>
              </w:rPr>
              <w:t xml:space="preserve"> não têm CMV congênito.</w:t>
            </w:r>
          </w:p>
        </w:tc>
      </w:tr>
      <w:tr w:rsidR="00E116E6" w:rsidRPr="003227C1" w14:paraId="3176F8DD" w14:textId="77777777" w:rsidTr="00E116E6">
        <w:trPr>
          <w:trHeight w:val="94"/>
        </w:trPr>
        <w:tc>
          <w:tcPr>
            <w:tcW w:w="9061" w:type="dxa"/>
            <w:gridSpan w:val="2"/>
            <w:shd w:val="clear" w:color="auto" w:fill="E7E6E6" w:themeFill="background2"/>
          </w:tcPr>
          <w:p w14:paraId="2BDBFC9E" w14:textId="4FE34CAA" w:rsidR="00E116E6" w:rsidRPr="003227C1" w:rsidRDefault="00752652" w:rsidP="00283D3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27C1">
              <w:rPr>
                <w:rFonts w:asciiTheme="minorHAnsi" w:hAnsiTheme="minorHAnsi" w:cstheme="minorHAnsi"/>
                <w:b/>
                <w:color w:val="000000" w:themeColor="text1"/>
              </w:rPr>
              <w:t xml:space="preserve">DIANTE DE UMA SUSPEITA DE CMV CONGÊNITO, DEVO MANTER A </w:t>
            </w:r>
            <w:r w:rsidR="00F22A7B" w:rsidRPr="003227C1">
              <w:rPr>
                <w:rFonts w:asciiTheme="minorHAnsi" w:hAnsiTheme="minorHAnsi" w:cstheme="minorHAnsi"/>
                <w:b/>
                <w:color w:val="000000" w:themeColor="text1"/>
              </w:rPr>
              <w:t>AMAMENTAÇÃO</w:t>
            </w:r>
            <w:r w:rsidRPr="003227C1">
              <w:rPr>
                <w:rFonts w:asciiTheme="minorHAnsi" w:hAnsiTheme="minorHAnsi" w:cstheme="minorHAnsi"/>
                <w:b/>
                <w:color w:val="000000" w:themeColor="text1"/>
              </w:rPr>
              <w:t xml:space="preserve"> OU USAR FÓRMULA?</w:t>
            </w:r>
            <w:r w:rsidR="0073321F">
              <w:rPr>
                <w:rFonts w:asciiTheme="minorHAnsi" w:hAnsiTheme="minorHAnsi" w:cstheme="minorHAnsi"/>
                <w:b/>
                <w:color w:val="000000" w:themeColor="text1"/>
                <w:vertAlign w:val="superscript"/>
              </w:rPr>
              <w:t>11</w:t>
            </w:r>
          </w:p>
        </w:tc>
      </w:tr>
      <w:tr w:rsidR="00F22A7B" w14:paraId="4465FBF0" w14:textId="77777777" w:rsidTr="00752652">
        <w:trPr>
          <w:trHeight w:val="94"/>
        </w:trPr>
        <w:tc>
          <w:tcPr>
            <w:tcW w:w="9061" w:type="dxa"/>
            <w:gridSpan w:val="2"/>
            <w:shd w:val="clear" w:color="auto" w:fill="auto"/>
          </w:tcPr>
          <w:p w14:paraId="7118520D" w14:textId="77777777" w:rsidR="006B5EDA" w:rsidRPr="006B5EDA" w:rsidRDefault="006B5EDA" w:rsidP="006B5EDA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B5EDA">
              <w:rPr>
                <w:rFonts w:asciiTheme="minorHAnsi" w:hAnsiTheme="minorHAnsi" w:cstheme="minorHAnsi"/>
                <w:color w:val="000000" w:themeColor="text1"/>
                <w:u w:val="single"/>
              </w:rPr>
              <w:t>Para RN &gt; 32 semanas</w:t>
            </w:r>
            <w:r w:rsidRPr="006B5EDA">
              <w:rPr>
                <w:rFonts w:asciiTheme="minorHAnsi" w:hAnsiTheme="minorHAnsi" w:cstheme="minorHAnsi"/>
                <w:color w:val="000000" w:themeColor="text1"/>
              </w:rPr>
              <w:t xml:space="preserve"> com suspeita ou confirmação de CMV congênito:</w:t>
            </w:r>
          </w:p>
          <w:p w14:paraId="1ABE6CD1" w14:textId="77777777" w:rsidR="006B5EDA" w:rsidRPr="006B5EDA" w:rsidRDefault="00752652" w:rsidP="006B5EDA">
            <w:pPr>
              <w:pStyle w:val="PargrafodaLista"/>
              <w:spacing w:after="0" w:line="240" w:lineRule="auto"/>
              <w:ind w:left="1168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B5EDA">
              <w:rPr>
                <w:rFonts w:asciiTheme="minorHAnsi" w:hAnsiTheme="minorHAnsi" w:cstheme="minorHAnsi"/>
                <w:color w:val="000000" w:themeColor="text1"/>
              </w:rPr>
              <w:t>O risco de não amamentar é bem maior</w:t>
            </w:r>
            <w:r w:rsidR="006B5EDA" w:rsidRPr="006B5EDA">
              <w:rPr>
                <w:rFonts w:asciiTheme="minorHAnsi" w:hAnsiTheme="minorHAnsi" w:cstheme="minorHAnsi"/>
                <w:color w:val="000000" w:themeColor="text1"/>
              </w:rPr>
              <w:t xml:space="preserve"> (os anticorpos de defesa estarão passando pelo leite materno)</w:t>
            </w:r>
            <w:r w:rsidRPr="006B5EDA">
              <w:rPr>
                <w:rFonts w:asciiTheme="minorHAnsi" w:hAnsiTheme="minorHAnsi" w:cstheme="minorHAnsi"/>
                <w:color w:val="000000" w:themeColor="text1"/>
              </w:rPr>
              <w:t>, de forma que NÃO ESTÁ CONTR</w:t>
            </w:r>
            <w:r w:rsidR="006B5EDA" w:rsidRPr="006B5EDA">
              <w:rPr>
                <w:rFonts w:asciiTheme="minorHAnsi" w:hAnsiTheme="minorHAnsi" w:cstheme="minorHAnsi"/>
                <w:color w:val="000000" w:themeColor="text1"/>
              </w:rPr>
              <w:t>A-INDICADO manter a amamentação;</w:t>
            </w:r>
          </w:p>
          <w:p w14:paraId="6E366376" w14:textId="77777777" w:rsidR="006B5EDA" w:rsidRDefault="006B5EDA" w:rsidP="006B5EDA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B5EDA">
              <w:rPr>
                <w:rFonts w:asciiTheme="minorHAnsi" w:hAnsiTheme="minorHAnsi" w:cstheme="minorHAnsi"/>
                <w:i/>
                <w:color w:val="000000" w:themeColor="text1"/>
                <w:u w:val="single"/>
              </w:rPr>
              <w:t>Para</w:t>
            </w:r>
            <w:r w:rsidR="00752652" w:rsidRPr="006B5EDA">
              <w:rPr>
                <w:rFonts w:asciiTheme="minorHAnsi" w:hAnsiTheme="minorHAnsi" w:cstheme="minorHAnsi"/>
                <w:i/>
                <w:color w:val="000000" w:themeColor="text1"/>
                <w:u w:val="single"/>
              </w:rPr>
              <w:t xml:space="preserve"> prematuros &lt;</w:t>
            </w:r>
            <w:r w:rsidRPr="006B5EDA">
              <w:rPr>
                <w:rFonts w:asciiTheme="minorHAnsi" w:hAnsiTheme="minorHAnsi" w:cstheme="minorHAnsi"/>
                <w:i/>
                <w:color w:val="000000" w:themeColor="text1"/>
                <w:u w:val="single"/>
              </w:rPr>
              <w:t>=</w:t>
            </w:r>
            <w:r w:rsidR="00752652" w:rsidRPr="006B5EDA">
              <w:rPr>
                <w:rFonts w:asciiTheme="minorHAnsi" w:hAnsiTheme="minorHAnsi" w:cstheme="minorHAnsi"/>
                <w:i/>
                <w:color w:val="000000" w:themeColor="text1"/>
                <w:u w:val="single"/>
              </w:rPr>
              <w:t xml:space="preserve"> 32 semanas</w:t>
            </w:r>
            <w:r w:rsidR="00AA35F6" w:rsidRPr="006B5EDA">
              <w:rPr>
                <w:rFonts w:asciiTheme="minorHAnsi" w:hAnsiTheme="minorHAnsi" w:cstheme="minorHAnsi"/>
                <w:i/>
                <w:color w:val="000000" w:themeColor="text1"/>
              </w:rPr>
              <w:t xml:space="preserve"> (ou &lt;</w:t>
            </w:r>
            <w:r w:rsidRPr="006B5EDA">
              <w:rPr>
                <w:rFonts w:asciiTheme="minorHAnsi" w:hAnsiTheme="minorHAnsi" w:cstheme="minorHAnsi"/>
                <w:i/>
                <w:color w:val="000000" w:themeColor="text1"/>
              </w:rPr>
              <w:t>=</w:t>
            </w:r>
            <w:r w:rsidR="00AA35F6" w:rsidRPr="006B5EDA">
              <w:rPr>
                <w:rFonts w:asciiTheme="minorHAnsi" w:hAnsiTheme="minorHAnsi" w:cstheme="minorHAnsi"/>
                <w:i/>
                <w:color w:val="000000" w:themeColor="text1"/>
              </w:rPr>
              <w:t xml:space="preserve"> 1.500 g):</w:t>
            </w:r>
          </w:p>
          <w:p w14:paraId="229837AE" w14:textId="77777777" w:rsidR="006B5EDA" w:rsidRDefault="00AA35F6" w:rsidP="006B5EDA">
            <w:pPr>
              <w:pStyle w:val="Pargrafoda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B5EDA">
              <w:rPr>
                <w:rFonts w:asciiTheme="minorHAnsi" w:hAnsiTheme="minorHAnsi" w:cstheme="minorHAnsi"/>
                <w:i/>
                <w:color w:val="000000" w:themeColor="text1"/>
              </w:rPr>
              <w:t>Se h</w:t>
            </w:r>
            <w:r w:rsidR="00A6665A" w:rsidRPr="006B5EDA">
              <w:rPr>
                <w:rFonts w:asciiTheme="minorHAnsi" w:hAnsiTheme="minorHAnsi" w:cstheme="minorHAnsi"/>
                <w:i/>
                <w:color w:val="000000" w:themeColor="text1"/>
              </w:rPr>
              <w:t>á sorologia materna no último mês não sugestiva de infecção recente, pode-se utilizar leite materno para dieta</w:t>
            </w:r>
          </w:p>
          <w:p w14:paraId="135F26F3" w14:textId="73D3E229" w:rsidR="00752652" w:rsidRPr="006B5EDA" w:rsidRDefault="00A6665A" w:rsidP="006B5EDA">
            <w:pPr>
              <w:pStyle w:val="Pargrafoda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B5EDA">
              <w:rPr>
                <w:rFonts w:asciiTheme="minorHAnsi" w:hAnsiTheme="minorHAnsi" w:cstheme="minorHAnsi"/>
                <w:i/>
                <w:color w:val="000000" w:themeColor="text1"/>
              </w:rPr>
              <w:t>Se NÃO</w:t>
            </w:r>
            <w:r w:rsidR="00AA35F6" w:rsidRPr="006B5EDA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6B5EDA">
              <w:rPr>
                <w:rFonts w:asciiTheme="minorHAnsi" w:hAnsiTheme="minorHAnsi" w:cstheme="minorHAnsi"/>
                <w:i/>
                <w:color w:val="000000" w:themeColor="text1"/>
              </w:rPr>
              <w:t>há sorologia materna no último mês ou há su</w:t>
            </w:r>
            <w:r w:rsidR="00DE1E96" w:rsidRPr="006B5EDA">
              <w:rPr>
                <w:rFonts w:asciiTheme="minorHAnsi" w:hAnsiTheme="minorHAnsi" w:cstheme="minorHAnsi"/>
                <w:i/>
                <w:color w:val="000000" w:themeColor="text1"/>
              </w:rPr>
              <w:t>s</w:t>
            </w:r>
            <w:r w:rsidRPr="006B5EDA">
              <w:rPr>
                <w:rFonts w:asciiTheme="minorHAnsi" w:hAnsiTheme="minorHAnsi" w:cstheme="minorHAnsi"/>
                <w:i/>
                <w:color w:val="000000" w:themeColor="text1"/>
              </w:rPr>
              <w:t>peita de infecção materna recente, iniciar fórmula e orientar coleta materna</w:t>
            </w:r>
            <w:r w:rsidR="006B5EDA" w:rsidRPr="006B5EDA">
              <w:rPr>
                <w:rFonts w:asciiTheme="minorHAnsi" w:hAnsiTheme="minorHAnsi" w:cstheme="minorHAnsi"/>
                <w:i/>
                <w:color w:val="000000" w:themeColor="text1"/>
              </w:rPr>
              <w:t xml:space="preserve"> de sorologias</w:t>
            </w:r>
            <w:r w:rsidRPr="006B5EDA">
              <w:rPr>
                <w:rFonts w:asciiTheme="minorHAnsi" w:hAnsiTheme="minorHAnsi" w:cstheme="minorHAnsi"/>
                <w:i/>
                <w:color w:val="000000" w:themeColor="text1"/>
              </w:rPr>
              <w:t xml:space="preserve"> para definição de alimentação por leite materno cru. Caso se consiga pasteurizar o leite materno, poderia também ser utilizado. </w:t>
            </w:r>
          </w:p>
        </w:tc>
      </w:tr>
      <w:tr w:rsidR="00F22A7B" w:rsidRPr="003227C1" w14:paraId="725D0002" w14:textId="77777777" w:rsidTr="00E116E6">
        <w:trPr>
          <w:trHeight w:val="94"/>
        </w:trPr>
        <w:tc>
          <w:tcPr>
            <w:tcW w:w="9061" w:type="dxa"/>
            <w:gridSpan w:val="2"/>
            <w:shd w:val="clear" w:color="auto" w:fill="E7E6E6" w:themeFill="background2"/>
          </w:tcPr>
          <w:p w14:paraId="2BFF0B30" w14:textId="2CDC6C8E" w:rsidR="00F22A7B" w:rsidRPr="003227C1" w:rsidRDefault="00DB3BB4" w:rsidP="00F22A7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27C1">
              <w:rPr>
                <w:rFonts w:asciiTheme="minorHAnsi" w:hAnsiTheme="minorHAnsi" w:cstheme="minorHAnsi"/>
                <w:b/>
                <w:color w:val="000000" w:themeColor="text1"/>
              </w:rPr>
              <w:t xml:space="preserve">QUANDO INDICAR O </w:t>
            </w:r>
            <w:r w:rsidR="00F22A7B" w:rsidRPr="003227C1">
              <w:rPr>
                <w:rFonts w:asciiTheme="minorHAnsi" w:hAnsiTheme="minorHAnsi" w:cstheme="minorHAnsi"/>
                <w:b/>
                <w:color w:val="000000" w:themeColor="text1"/>
              </w:rPr>
              <w:t>TRATAMENTO DOS RN CONFIRMADOS POR MEIO DO PCR na urina? (resultado demora cerca de 5 dias)</w:t>
            </w:r>
          </w:p>
        </w:tc>
      </w:tr>
      <w:tr w:rsidR="00E116E6" w14:paraId="16F80B09" w14:textId="77777777" w:rsidTr="00BB03BA">
        <w:trPr>
          <w:trHeight w:val="94"/>
        </w:trPr>
        <w:tc>
          <w:tcPr>
            <w:tcW w:w="9061" w:type="dxa"/>
            <w:gridSpan w:val="2"/>
          </w:tcPr>
          <w:p w14:paraId="7E17D3D6" w14:textId="77777777" w:rsidR="00E116E6" w:rsidRDefault="00E116E6" w:rsidP="00E116E6">
            <w:pPr>
              <w:pStyle w:val="PargrafodaLista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PRÉ-REQUISITOS para tratar: </w:t>
            </w:r>
          </w:p>
          <w:p w14:paraId="6A3A7290" w14:textId="4FD1E1A6" w:rsidR="00E116E6" w:rsidRDefault="00E116E6" w:rsidP="00283D3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Ter &lt;= 30 dias de nascido</w:t>
            </w:r>
          </w:p>
          <w:p w14:paraId="4910E0BD" w14:textId="77777777" w:rsidR="00E116E6" w:rsidRDefault="00E116E6" w:rsidP="00283D3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Apresentar pelo menos UMA das seguintes alterações:</w:t>
            </w:r>
          </w:p>
          <w:p w14:paraId="2100B224" w14:textId="77777777" w:rsidR="00E116E6" w:rsidRDefault="00E116E6" w:rsidP="00283D30">
            <w:pPr>
              <w:pStyle w:val="PargrafodaLista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SNC: microcefalia, calcificação SNC, alteração de substância branca</w:t>
            </w:r>
          </w:p>
          <w:p w14:paraId="42C1DFBC" w14:textId="120EFAF5" w:rsidR="00E116E6" w:rsidRDefault="00E116E6" w:rsidP="00283D30">
            <w:pPr>
              <w:pStyle w:val="PargrafodaLista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Oftalmo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coriorretinite</w:t>
            </w:r>
            <w:proofErr w:type="spellEnd"/>
            <w:r w:rsidR="0047405C">
              <w:rPr>
                <w:rFonts w:asciiTheme="minorHAnsi" w:hAnsiTheme="minorHAnsi" w:cstheme="minorHAnsi"/>
                <w:color w:val="000000" w:themeColor="text1"/>
              </w:rPr>
              <w:t xml:space="preserve"> com risco de perda de visão</w:t>
            </w:r>
          </w:p>
          <w:p w14:paraId="50F0CDD7" w14:textId="77777777" w:rsidR="00E116E6" w:rsidRDefault="00E116E6" w:rsidP="00283D30">
            <w:pPr>
              <w:pStyle w:val="PargrafodaLista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Déficit auditivo (mesmo que isolado)</w:t>
            </w:r>
          </w:p>
          <w:p w14:paraId="3AC0C411" w14:textId="5B924940" w:rsidR="00E116E6" w:rsidRDefault="00E116E6" w:rsidP="00283D30">
            <w:pPr>
              <w:pStyle w:val="PargrafodaLista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Doença considerada grave:</w:t>
            </w:r>
          </w:p>
          <w:p w14:paraId="1610FEEF" w14:textId="5C1E4C4D" w:rsidR="00E116E6" w:rsidRDefault="00E116E6" w:rsidP="00283D30">
            <w:pPr>
              <w:pStyle w:val="PargrafodaLista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Quadro semelhante a uma sepse viral</w:t>
            </w:r>
          </w:p>
          <w:p w14:paraId="116201D7" w14:textId="108F5D1E" w:rsidR="00E116E6" w:rsidRDefault="00E116E6" w:rsidP="00283D30">
            <w:pPr>
              <w:pStyle w:val="PargrafodaLista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Disfunção de algum órgão GRAVE:</w:t>
            </w:r>
          </w:p>
          <w:p w14:paraId="297B5B6C" w14:textId="128B3BA2" w:rsidR="00E116E6" w:rsidRDefault="00E116E6" w:rsidP="00283D30">
            <w:pPr>
              <w:pStyle w:val="PargrafodaLista"/>
              <w:numPr>
                <w:ilvl w:val="3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Hepatite</w:t>
            </w:r>
          </w:p>
          <w:p w14:paraId="027B7000" w14:textId="026421BE" w:rsidR="00E116E6" w:rsidRDefault="00E116E6" w:rsidP="00283D30">
            <w:pPr>
              <w:pStyle w:val="PargrafodaLista"/>
              <w:numPr>
                <w:ilvl w:val="3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Miocardite</w:t>
            </w:r>
          </w:p>
          <w:p w14:paraId="566F1831" w14:textId="5A4507F2" w:rsidR="00E116E6" w:rsidRDefault="00E116E6" w:rsidP="00283D30">
            <w:pPr>
              <w:pStyle w:val="PargrafodaLista"/>
              <w:numPr>
                <w:ilvl w:val="3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Pneumonite</w:t>
            </w:r>
            <w:proofErr w:type="spellEnd"/>
          </w:p>
          <w:p w14:paraId="254EA994" w14:textId="777475DC" w:rsidR="00E116E6" w:rsidRDefault="00E116E6" w:rsidP="00283D30">
            <w:pPr>
              <w:pStyle w:val="PargrafodaLista"/>
              <w:numPr>
                <w:ilvl w:val="3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Enterocolite</w:t>
            </w:r>
            <w:proofErr w:type="spellEnd"/>
          </w:p>
          <w:p w14:paraId="49DA7873" w14:textId="0828865D" w:rsidR="00E116E6" w:rsidRDefault="00E116E6" w:rsidP="00283D30">
            <w:pPr>
              <w:pStyle w:val="PargrafodaLista"/>
              <w:numPr>
                <w:ilvl w:val="3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Supressão grave e refratária da medula (anemia,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neutropenia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, trombocitopenia)</w:t>
            </w:r>
          </w:p>
          <w:p w14:paraId="44694E92" w14:textId="155AE866" w:rsidR="00E116E6" w:rsidRDefault="00E116E6" w:rsidP="00283D30">
            <w:pPr>
              <w:pStyle w:val="PargrafodaLista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Portador de imunodeficiência primária (ex.: SCID)</w:t>
            </w:r>
          </w:p>
        </w:tc>
      </w:tr>
      <w:tr w:rsidR="00E116E6" w:rsidRPr="003227C1" w14:paraId="5F2A9EDC" w14:textId="77777777" w:rsidTr="00E116E6">
        <w:trPr>
          <w:trHeight w:val="94"/>
        </w:trPr>
        <w:tc>
          <w:tcPr>
            <w:tcW w:w="9061" w:type="dxa"/>
            <w:gridSpan w:val="2"/>
            <w:shd w:val="clear" w:color="auto" w:fill="E7E6E6" w:themeFill="background2"/>
          </w:tcPr>
          <w:p w14:paraId="67FC8FEE" w14:textId="49542CDC" w:rsidR="00E116E6" w:rsidRPr="003227C1" w:rsidRDefault="00E116E6" w:rsidP="00283D3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27C1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QUAL O TRATAMENTO DE ESCOLHA?</w:t>
            </w:r>
            <w:r w:rsidR="0073321F">
              <w:rPr>
                <w:rFonts w:asciiTheme="minorHAnsi" w:hAnsiTheme="minorHAnsi" w:cstheme="minorHAnsi"/>
                <w:b/>
                <w:color w:val="000000" w:themeColor="text1"/>
                <w:vertAlign w:val="superscript"/>
              </w:rPr>
              <w:t>8</w:t>
            </w:r>
          </w:p>
        </w:tc>
      </w:tr>
      <w:tr w:rsidR="00E116E6" w14:paraId="1EAA135A" w14:textId="77777777" w:rsidTr="00BB03BA">
        <w:trPr>
          <w:trHeight w:val="94"/>
        </w:trPr>
        <w:tc>
          <w:tcPr>
            <w:tcW w:w="9061" w:type="dxa"/>
            <w:gridSpan w:val="2"/>
          </w:tcPr>
          <w:p w14:paraId="17B5233C" w14:textId="77777777" w:rsidR="00E116E6" w:rsidRDefault="00E116E6" w:rsidP="00E116E6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    Geralmente, como se tratam de casos graves, em que os pacientes se encontram internados, o tratamento se fará com GANCICLOVIR EV 6 mg/kg/dose 12/12 horas </w:t>
            </w:r>
            <w:r w:rsidR="0047405C">
              <w:rPr>
                <w:rFonts w:asciiTheme="minorHAnsi" w:hAnsiTheme="minorHAnsi" w:cstheme="minorHAnsi"/>
                <w:color w:val="000000" w:themeColor="text1"/>
              </w:rPr>
              <w:t>por 6 semanas.</w:t>
            </w:r>
          </w:p>
          <w:p w14:paraId="1E51227C" w14:textId="51A28EA8" w:rsidR="0047405C" w:rsidRDefault="0047405C" w:rsidP="00E116E6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447A137" w14:textId="04DFBFEE" w:rsidR="0047405C" w:rsidRDefault="0047405C" w:rsidP="00E116E6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CONDIÇÃO EXCEPCIONAL:</w:t>
            </w:r>
          </w:p>
          <w:p w14:paraId="1AB29174" w14:textId="69A3DFE6" w:rsidR="0047405C" w:rsidRDefault="0047405C" w:rsidP="00283D30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para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pacientes que estiverem estáveis (boa aparência ou levemente doente, em ar ambiente com oxigênio suplementar baixo, tolerando bem dieta enteral/oral, com bom ganho de peso);</w:t>
            </w:r>
          </w:p>
          <w:p w14:paraId="7376C029" w14:textId="71F1EBB2" w:rsidR="0047405C" w:rsidRDefault="0047405C" w:rsidP="0047405C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7405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com sintomas sem risco de morte (ex.: microcefalia, calcificações isoladas sem convulsões, perda auditiva isolada, hepatite não grave,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) </w:t>
            </w:r>
          </w:p>
          <w:p w14:paraId="68EBF41D" w14:textId="00515978" w:rsidR="0047405C" w:rsidRDefault="0047405C" w:rsidP="0047405C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7405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imunocompetentes</w:t>
            </w:r>
            <w:proofErr w:type="spellEnd"/>
          </w:p>
          <w:p w14:paraId="27B21FFE" w14:textId="551E24D5" w:rsidR="0047405C" w:rsidRDefault="0047405C" w:rsidP="0047405C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7405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que tiverem cobertura do convênio ou da família como alto custo;</w:t>
            </w:r>
          </w:p>
          <w:p w14:paraId="5745B15D" w14:textId="77777777" w:rsidR="0047405C" w:rsidRDefault="0047405C" w:rsidP="0047405C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0A8C03" w14:textId="46241CB9" w:rsidR="0047405C" w:rsidRPr="0047405C" w:rsidRDefault="0047405C" w:rsidP="0047405C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 alternativa que se apresenta é 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Valganciclovir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Valcyte</w:t>
            </w:r>
            <w:r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cp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450 mg – caixa 60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cp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): dose 16 mg/kg/dose enteral/oral 12/12 horas também por pelo menos 6 semanas (podendo ser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extendido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por até 6 meses).</w:t>
            </w:r>
            <w:r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2</w:t>
            </w:r>
          </w:p>
        </w:tc>
      </w:tr>
      <w:tr w:rsidR="00FF7479" w:rsidRPr="003227C1" w14:paraId="14F6874C" w14:textId="77777777" w:rsidTr="009F7176">
        <w:trPr>
          <w:trHeight w:val="94"/>
        </w:trPr>
        <w:tc>
          <w:tcPr>
            <w:tcW w:w="9061" w:type="dxa"/>
            <w:gridSpan w:val="2"/>
            <w:shd w:val="clear" w:color="auto" w:fill="E7E6E6" w:themeFill="background2"/>
          </w:tcPr>
          <w:p w14:paraId="532A3315" w14:textId="3C6A5EDD" w:rsidR="00FF7479" w:rsidRPr="003227C1" w:rsidRDefault="00FF7479" w:rsidP="00283D3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27C1">
              <w:rPr>
                <w:rFonts w:asciiTheme="minorHAnsi" w:hAnsiTheme="minorHAnsi" w:cstheme="minorHAnsi"/>
                <w:b/>
                <w:color w:val="000000" w:themeColor="text1"/>
              </w:rPr>
              <w:t>EXAMES NECESSÁRIOS DURANTE O TRATAMENTO:</w:t>
            </w:r>
          </w:p>
        </w:tc>
      </w:tr>
      <w:tr w:rsidR="00FF7479" w14:paraId="713B0E2C" w14:textId="77777777" w:rsidTr="00BB03BA">
        <w:trPr>
          <w:trHeight w:val="94"/>
        </w:trPr>
        <w:tc>
          <w:tcPr>
            <w:tcW w:w="9061" w:type="dxa"/>
            <w:gridSpan w:val="2"/>
          </w:tcPr>
          <w:tbl>
            <w:tblPr>
              <w:tblStyle w:val="Tabelacomgrade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2720"/>
              <w:gridCol w:w="2029"/>
              <w:gridCol w:w="4058"/>
            </w:tblGrid>
            <w:tr w:rsidR="009F7176" w14:paraId="1801542F" w14:textId="77777777" w:rsidTr="0079047A">
              <w:tc>
                <w:tcPr>
                  <w:tcW w:w="2720" w:type="dxa"/>
                  <w:shd w:val="clear" w:color="auto" w:fill="E7E6E6" w:themeFill="background2"/>
                </w:tcPr>
                <w:p w14:paraId="009706A1" w14:textId="52F3C3C5" w:rsidR="009F7176" w:rsidRPr="009F7176" w:rsidRDefault="009F7176" w:rsidP="009F7176">
                  <w:pPr>
                    <w:pStyle w:val="PargrafodaLista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inorHAnsi" w:eastAsiaTheme="minorHAnsi" w:hAnsiTheme="minorHAnsi" w:cstheme="minorHAnsi"/>
                      <w:color w:val="141413"/>
                      <w:sz w:val="16"/>
                      <w:szCs w:val="16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141413"/>
                      <w:sz w:val="16"/>
                      <w:szCs w:val="16"/>
                    </w:rPr>
                    <w:t>EXAME</w:t>
                  </w:r>
                </w:p>
              </w:tc>
              <w:tc>
                <w:tcPr>
                  <w:tcW w:w="6087" w:type="dxa"/>
                  <w:gridSpan w:val="2"/>
                  <w:shd w:val="clear" w:color="auto" w:fill="E7E6E6" w:themeFill="background2"/>
                </w:tcPr>
                <w:p w14:paraId="26760096" w14:textId="5A029240" w:rsidR="009F7176" w:rsidRPr="009F7176" w:rsidRDefault="009F7176" w:rsidP="009F7176">
                  <w:pPr>
                    <w:pStyle w:val="PargrafodaLista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inorHAnsi" w:eastAsiaTheme="minorHAnsi" w:hAnsiTheme="minorHAnsi" w:cstheme="minorHAnsi"/>
                      <w:color w:val="141413"/>
                      <w:sz w:val="16"/>
                      <w:szCs w:val="16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141413"/>
                      <w:sz w:val="16"/>
                      <w:szCs w:val="16"/>
                    </w:rPr>
                    <w:t>REPETIÇÕES</w:t>
                  </w:r>
                </w:p>
              </w:tc>
            </w:tr>
            <w:tr w:rsidR="009F7176" w14:paraId="667EEDE2" w14:textId="77777777" w:rsidTr="0033791B">
              <w:tc>
                <w:tcPr>
                  <w:tcW w:w="2720" w:type="dxa"/>
                </w:tcPr>
                <w:p w14:paraId="060752D0" w14:textId="5DBC330F" w:rsidR="009F7176" w:rsidRPr="000E3CE3" w:rsidRDefault="009F7176" w:rsidP="009F7176">
                  <w:pPr>
                    <w:pStyle w:val="PargrafodaLista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inorHAnsi" w:eastAsiaTheme="minorHAnsi" w:hAnsiTheme="minorHAnsi" w:cstheme="minorHAnsi"/>
                      <w:color w:val="141413"/>
                      <w:sz w:val="20"/>
                      <w:szCs w:val="20"/>
                    </w:rPr>
                  </w:pPr>
                  <w:r w:rsidRPr="000E3CE3">
                    <w:rPr>
                      <w:rFonts w:asciiTheme="minorHAnsi" w:eastAsiaTheme="minorHAnsi" w:hAnsiTheme="minorHAnsi" w:cstheme="minorHAnsi"/>
                      <w:color w:val="141413"/>
                      <w:sz w:val="20"/>
                      <w:szCs w:val="20"/>
                    </w:rPr>
                    <w:t>HMG, Ureia, Cr, TGO e BTF</w:t>
                  </w:r>
                </w:p>
              </w:tc>
              <w:tc>
                <w:tcPr>
                  <w:tcW w:w="2029" w:type="dxa"/>
                </w:tcPr>
                <w:p w14:paraId="6200B0D4" w14:textId="511CC941" w:rsidR="009F7176" w:rsidRPr="000E3CE3" w:rsidRDefault="009F7176" w:rsidP="009F7176">
                  <w:pPr>
                    <w:pStyle w:val="PargrafodaLista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inorHAnsi" w:eastAsiaTheme="minorHAnsi" w:hAnsiTheme="minorHAnsi" w:cstheme="minorHAnsi"/>
                      <w:color w:val="141413"/>
                      <w:sz w:val="20"/>
                      <w:szCs w:val="20"/>
                    </w:rPr>
                  </w:pPr>
                  <w:r w:rsidRPr="000E3CE3">
                    <w:rPr>
                      <w:rFonts w:asciiTheme="minorHAnsi" w:eastAsiaTheme="minorHAnsi" w:hAnsiTheme="minorHAnsi" w:cstheme="minorHAnsi"/>
                      <w:color w:val="141413"/>
                      <w:sz w:val="20"/>
                      <w:szCs w:val="20"/>
                    </w:rPr>
                    <w:t>3/3 dias por 21 dias</w:t>
                  </w:r>
                </w:p>
              </w:tc>
              <w:tc>
                <w:tcPr>
                  <w:tcW w:w="4058" w:type="dxa"/>
                </w:tcPr>
                <w:p w14:paraId="6236AC5A" w14:textId="5C829B8C" w:rsidR="009F7176" w:rsidRPr="000E3CE3" w:rsidRDefault="009F7176" w:rsidP="009F7176">
                  <w:pPr>
                    <w:pStyle w:val="PargrafodaLista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inorHAnsi" w:eastAsiaTheme="minorHAnsi" w:hAnsiTheme="minorHAnsi" w:cstheme="minorHAnsi"/>
                      <w:color w:val="141413"/>
                      <w:sz w:val="20"/>
                      <w:szCs w:val="20"/>
                    </w:rPr>
                  </w:pPr>
                  <w:r w:rsidRPr="000E3CE3">
                    <w:rPr>
                      <w:rFonts w:asciiTheme="minorHAnsi" w:eastAsiaTheme="minorHAnsi" w:hAnsiTheme="minorHAnsi" w:cstheme="minorHAnsi"/>
                      <w:color w:val="141413"/>
                      <w:sz w:val="20"/>
                      <w:szCs w:val="20"/>
                    </w:rPr>
                    <w:t>Após, repetir Semanalmente</w:t>
                  </w:r>
                </w:p>
              </w:tc>
            </w:tr>
            <w:tr w:rsidR="0079047A" w14:paraId="390BC859" w14:textId="77777777" w:rsidTr="00E95146">
              <w:tc>
                <w:tcPr>
                  <w:tcW w:w="2720" w:type="dxa"/>
                </w:tcPr>
                <w:p w14:paraId="0D8FD569" w14:textId="67ACE660" w:rsidR="0079047A" w:rsidRPr="000E3CE3" w:rsidRDefault="0079047A" w:rsidP="009F7176">
                  <w:pPr>
                    <w:pStyle w:val="PargrafodaLista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inorHAnsi" w:eastAsiaTheme="minorHAnsi" w:hAnsiTheme="minorHAnsi" w:cstheme="minorHAnsi"/>
                      <w:color w:val="141413"/>
                      <w:sz w:val="20"/>
                      <w:szCs w:val="20"/>
                    </w:rPr>
                  </w:pPr>
                  <w:r w:rsidRPr="000E3CE3">
                    <w:rPr>
                      <w:rFonts w:asciiTheme="minorHAnsi" w:eastAsiaTheme="minorHAnsi" w:hAnsiTheme="minorHAnsi" w:cstheme="minorHAnsi"/>
                      <w:color w:val="141413"/>
                      <w:sz w:val="20"/>
                      <w:szCs w:val="20"/>
                    </w:rPr>
                    <w:t>PCR quantitativo no plasma</w:t>
                  </w:r>
                </w:p>
              </w:tc>
              <w:tc>
                <w:tcPr>
                  <w:tcW w:w="2029" w:type="dxa"/>
                </w:tcPr>
                <w:p w14:paraId="61FAD723" w14:textId="2DDEAB2F" w:rsidR="0079047A" w:rsidRPr="000E3CE3" w:rsidRDefault="0079047A" w:rsidP="009F7176">
                  <w:pPr>
                    <w:pStyle w:val="PargrafodaLista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inorHAnsi" w:eastAsiaTheme="minorHAnsi" w:hAnsiTheme="minorHAnsi" w:cstheme="minorHAnsi"/>
                      <w:color w:val="141413"/>
                      <w:sz w:val="20"/>
                      <w:szCs w:val="20"/>
                    </w:rPr>
                  </w:pPr>
                  <w:r w:rsidRPr="000E3CE3">
                    <w:rPr>
                      <w:rFonts w:asciiTheme="minorHAnsi" w:eastAsiaTheme="minorHAnsi" w:hAnsiTheme="minorHAnsi" w:cstheme="minorHAnsi"/>
                      <w:color w:val="141413"/>
                      <w:sz w:val="20"/>
                      <w:szCs w:val="20"/>
                    </w:rPr>
                    <w:t>Coletar nas semanas:</w:t>
                  </w:r>
                </w:p>
              </w:tc>
              <w:tc>
                <w:tcPr>
                  <w:tcW w:w="4058" w:type="dxa"/>
                </w:tcPr>
                <w:p w14:paraId="2B56B934" w14:textId="26FA83C3" w:rsidR="0079047A" w:rsidRPr="000E3CE3" w:rsidRDefault="0079047A" w:rsidP="009F7176">
                  <w:pPr>
                    <w:pStyle w:val="PargrafodaLista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inorHAnsi" w:eastAsiaTheme="minorHAnsi" w:hAnsiTheme="minorHAnsi" w:cstheme="minorHAnsi"/>
                      <w:color w:val="141413"/>
                      <w:sz w:val="20"/>
                      <w:szCs w:val="20"/>
                    </w:rPr>
                  </w:pPr>
                  <w:r w:rsidRPr="000E3CE3">
                    <w:rPr>
                      <w:rFonts w:asciiTheme="minorHAnsi" w:eastAsiaTheme="minorHAnsi" w:hAnsiTheme="minorHAnsi" w:cstheme="minorHAnsi"/>
                      <w:color w:val="141413"/>
                      <w:sz w:val="20"/>
                      <w:szCs w:val="20"/>
                    </w:rPr>
                    <w:t>0, 1, 2, 4, 6, 8, 10 e 12 semanas</w:t>
                  </w:r>
                </w:p>
              </w:tc>
            </w:tr>
          </w:tbl>
          <w:p w14:paraId="353945E4" w14:textId="77777777" w:rsidR="00FF7479" w:rsidRPr="0079047A" w:rsidRDefault="00FF7479" w:rsidP="007904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F7479" w:rsidRPr="003227C1" w14:paraId="183EB8A3" w14:textId="77777777" w:rsidTr="0079047A">
        <w:trPr>
          <w:trHeight w:val="94"/>
        </w:trPr>
        <w:tc>
          <w:tcPr>
            <w:tcW w:w="9061" w:type="dxa"/>
            <w:gridSpan w:val="2"/>
            <w:shd w:val="clear" w:color="auto" w:fill="E7E6E6" w:themeFill="background2"/>
          </w:tcPr>
          <w:p w14:paraId="6711282A" w14:textId="329201A7" w:rsidR="00FF7479" w:rsidRPr="003227C1" w:rsidRDefault="00FF7479" w:rsidP="00283D3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27C1">
              <w:rPr>
                <w:rFonts w:asciiTheme="minorHAnsi" w:hAnsiTheme="minorHAnsi" w:cstheme="minorHAnsi"/>
                <w:b/>
                <w:color w:val="000000" w:themeColor="text1"/>
              </w:rPr>
              <w:t>EFEITOS COLATERAIS E AJUSTES DE DOSES:</w:t>
            </w:r>
          </w:p>
        </w:tc>
      </w:tr>
      <w:tr w:rsidR="00FF7479" w14:paraId="1A256451" w14:textId="77777777" w:rsidTr="00BB03BA">
        <w:trPr>
          <w:trHeight w:val="94"/>
        </w:trPr>
        <w:tc>
          <w:tcPr>
            <w:tcW w:w="9061" w:type="dxa"/>
            <w:gridSpan w:val="2"/>
          </w:tcPr>
          <w:p w14:paraId="5D16D6F4" w14:textId="593528AF" w:rsidR="00FF7479" w:rsidRPr="0079047A" w:rsidRDefault="00FF7479" w:rsidP="00283D30">
            <w:pPr>
              <w:pStyle w:val="PargrafodaLista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eastAsiaTheme="minorHAnsi" w:hAnsiTheme="minorHAnsi" w:cstheme="minorHAnsi"/>
                <w:color w:val="3C3D3C"/>
                <w:sz w:val="20"/>
                <w:szCs w:val="20"/>
              </w:rPr>
            </w:pPr>
            <w:proofErr w:type="spellStart"/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  <w:u w:val="single"/>
              </w:rPr>
              <w:t>Neutropenia</w:t>
            </w:r>
            <w:proofErr w:type="spellEnd"/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 (&lt;500 células/mm</w:t>
            </w:r>
            <w:r w:rsid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  <w:vertAlign w:val="superscript"/>
              </w:rPr>
              <w:t>3</w:t>
            </w:r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) </w:t>
            </w:r>
            <w:r w:rsid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por </w:t>
            </w:r>
            <w:proofErr w:type="spellStart"/>
            <w:r w:rsid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hepatotoxicidade</w:t>
            </w:r>
            <w:proofErr w:type="spellEnd"/>
            <w:r w:rsid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 do antiviral (25-60% </w:t>
            </w:r>
            <w:proofErr w:type="spellStart"/>
            <w:r w:rsid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ganciclovir</w:t>
            </w:r>
            <w:proofErr w:type="spellEnd"/>
            <w:r w:rsid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 e 20% com </w:t>
            </w:r>
            <w:proofErr w:type="spellStart"/>
            <w:r w:rsid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valgancicolvir</w:t>
            </w:r>
            <w:proofErr w:type="spellEnd"/>
            <w:r w:rsid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): </w:t>
            </w:r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interromper o uso por 1 a 7 dias, e após melhora da </w:t>
            </w:r>
            <w:proofErr w:type="spellStart"/>
            <w:proofErr w:type="gramStart"/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neutropenia</w:t>
            </w:r>
            <w:proofErr w:type="spellEnd"/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  (</w:t>
            </w:r>
            <w:proofErr w:type="gramEnd"/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&gt;1000 células/mm</w:t>
            </w:r>
            <w:r w:rsidRPr="0079047A">
              <w:rPr>
                <w:rFonts w:asciiTheme="minorHAnsi" w:eastAsiaTheme="minorHAnsi" w:hAnsiTheme="minorHAnsi" w:cstheme="minorHAnsi"/>
                <w:color w:val="141413"/>
                <w:position w:val="6"/>
                <w:sz w:val="20"/>
                <w:szCs w:val="20"/>
              </w:rPr>
              <w:t>3</w:t>
            </w:r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)</w:t>
            </w:r>
            <w:r w:rsid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, </w:t>
            </w:r>
            <w:proofErr w:type="spellStart"/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reinicar</w:t>
            </w:r>
            <w:proofErr w:type="spellEnd"/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 com a medicação na mesma dose anterior. Se persistir </w:t>
            </w:r>
            <w:proofErr w:type="spellStart"/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neutropenia</w:t>
            </w:r>
            <w:proofErr w:type="spellEnd"/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, avaliar redução ou suspensão definitiva da medicação. Importante descartar outras causas de </w:t>
            </w:r>
            <w:proofErr w:type="spellStart"/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neutropenia</w:t>
            </w:r>
            <w:proofErr w:type="spellEnd"/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, como por exemplo infecções. </w:t>
            </w:r>
          </w:p>
          <w:p w14:paraId="10AB259F" w14:textId="6742A069" w:rsidR="00FF7479" w:rsidRPr="000E3CE3" w:rsidRDefault="00FF7479" w:rsidP="00283D30">
            <w:pPr>
              <w:pStyle w:val="PargrafodaLista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  <w:u w:val="single"/>
              </w:rPr>
            </w:pPr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  <w:u w:val="single"/>
              </w:rPr>
              <w:t>Trombocitopenia</w:t>
            </w:r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 (plaquetas &lt;50.000</w:t>
            </w:r>
            <w:r w:rsid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/mm</w:t>
            </w:r>
            <w:r w:rsid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  <w:vertAlign w:val="superscript"/>
              </w:rPr>
              <w:t>3</w:t>
            </w:r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)</w:t>
            </w:r>
            <w:r w:rsid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:</w:t>
            </w:r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 No entanto, crianças com infecção congênita por CMV geralmente apresentam baixa contagem de plaquetas ao nascer, e a contribuição relativa do </w:t>
            </w:r>
            <w:proofErr w:type="spellStart"/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ganciclovir</w:t>
            </w:r>
            <w:proofErr w:type="spellEnd"/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 para a trombocitopenia não é clara. O agravamento da trombocitopenia durante a terapia antiviral, enquanto os níveis de </w:t>
            </w:r>
            <w:proofErr w:type="spellStart"/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DNAemia</w:t>
            </w:r>
            <w:proofErr w:type="spellEnd"/>
            <w:r w:rsidRPr="0079047A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 do CMV estão diminuindo, sugere trombocitopenia induzida por medicamentos. </w:t>
            </w:r>
          </w:p>
          <w:p w14:paraId="1DD89DAB" w14:textId="3F03464E" w:rsidR="00FF7479" w:rsidRPr="000E3CE3" w:rsidRDefault="00FF7479" w:rsidP="00283D30">
            <w:pPr>
              <w:pStyle w:val="PargrafodaLista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  <w:u w:val="single"/>
              </w:rPr>
            </w:pPr>
            <w:r w:rsidRPr="000E3CE3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  <w:u w:val="single"/>
              </w:rPr>
              <w:t>Creatinina sérica elevada</w:t>
            </w:r>
            <w:r w:rsidR="000E3CE3" w:rsidRPr="000E3CE3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  <w:u w:val="single"/>
              </w:rPr>
              <w:t>:</w:t>
            </w:r>
            <w:r w:rsidR="000E3CE3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 </w:t>
            </w:r>
            <w:r w:rsidRPr="000E3CE3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as doses </w:t>
            </w:r>
            <w:r w:rsidR="000E3CE3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devem ser ajustadas </w:t>
            </w:r>
            <w:r w:rsidRPr="000E3CE3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de acordo com o </w:t>
            </w:r>
            <w:proofErr w:type="spellStart"/>
            <w:r w:rsidRPr="000E3CE3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clearence</w:t>
            </w:r>
            <w:proofErr w:type="spellEnd"/>
            <w:r w:rsidRPr="000E3CE3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 de creatinina. Se essas alterações persistirem ou piorarem, a droga deverá ser suspensa até a normalização dos parâmetros laboratoriais</w:t>
            </w:r>
            <w:r w:rsidR="000E3CE3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.</w:t>
            </w:r>
          </w:p>
        </w:tc>
      </w:tr>
      <w:tr w:rsidR="00AE5D4D" w:rsidRPr="003227C1" w14:paraId="59A5A5B4" w14:textId="77777777" w:rsidTr="00AE5D4D">
        <w:trPr>
          <w:trHeight w:val="94"/>
        </w:trPr>
        <w:tc>
          <w:tcPr>
            <w:tcW w:w="9061" w:type="dxa"/>
            <w:gridSpan w:val="2"/>
            <w:shd w:val="clear" w:color="auto" w:fill="E7E6E6" w:themeFill="background2"/>
          </w:tcPr>
          <w:p w14:paraId="7B6B2CE1" w14:textId="75931A09" w:rsidR="00AE5D4D" w:rsidRPr="003227C1" w:rsidRDefault="00AE5D4D" w:rsidP="00283D30">
            <w:pPr>
              <w:pStyle w:val="PargrafodaLista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141413"/>
                <w:sz w:val="20"/>
                <w:szCs w:val="20"/>
                <w:u w:val="single"/>
              </w:rPr>
            </w:pPr>
            <w:r w:rsidRPr="003227C1">
              <w:rPr>
                <w:rFonts w:asciiTheme="minorHAnsi" w:eastAsiaTheme="minorHAnsi" w:hAnsiTheme="minorHAnsi" w:cstheme="minorHAnsi"/>
                <w:b/>
                <w:color w:val="141413"/>
                <w:sz w:val="20"/>
                <w:szCs w:val="20"/>
              </w:rPr>
              <w:t>QUANDO CONSIDERAR QUE HOUVE FALHA AO TRATAMENTO?</w:t>
            </w:r>
          </w:p>
        </w:tc>
      </w:tr>
      <w:tr w:rsidR="00AE5D4D" w14:paraId="2243EAAD" w14:textId="77777777" w:rsidTr="00BB03BA">
        <w:trPr>
          <w:trHeight w:val="94"/>
        </w:trPr>
        <w:tc>
          <w:tcPr>
            <w:tcW w:w="9061" w:type="dxa"/>
            <w:gridSpan w:val="2"/>
          </w:tcPr>
          <w:p w14:paraId="76805C39" w14:textId="77777777" w:rsidR="00AE5D4D" w:rsidRDefault="00AE5D4D" w:rsidP="00AE5D4D">
            <w:pPr>
              <w:pStyle w:val="PargrafodaList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Os critérios são:</w:t>
            </w:r>
          </w:p>
          <w:p w14:paraId="4DBACE5D" w14:textId="77777777" w:rsidR="00AE5D4D" w:rsidRDefault="00AE5D4D" w:rsidP="00283D30">
            <w:pPr>
              <w:pStyle w:val="PargrafodaLista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Doença progressiva do órgão-alvo apesar do tratamento adequado;</w:t>
            </w:r>
          </w:p>
          <w:p w14:paraId="6B2C3D51" w14:textId="77777777" w:rsidR="00AE5D4D" w:rsidRDefault="00AE5D4D" w:rsidP="00283D30">
            <w:pPr>
              <w:pStyle w:val="PargrafodaLista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Aumento dos níveis de </w:t>
            </w:r>
            <w:proofErr w:type="spellStart"/>
            <w:r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DNAemia</w:t>
            </w:r>
            <w:proofErr w:type="spellEnd"/>
            <w:r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 de CMV após duas semanas de tratamento (PCR quantitativo);</w:t>
            </w:r>
          </w:p>
          <w:p w14:paraId="4F799313" w14:textId="77777777" w:rsidR="00AE5D4D" w:rsidRDefault="00AE5D4D" w:rsidP="00283D30">
            <w:pPr>
              <w:pStyle w:val="PargrafodaLista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Aumento sustentado de </w:t>
            </w:r>
            <w:proofErr w:type="spellStart"/>
            <w:r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DNAemia</w:t>
            </w:r>
            <w:proofErr w:type="spellEnd"/>
            <w:r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 de CMV após um declínio inicial.</w:t>
            </w:r>
          </w:p>
          <w:p w14:paraId="2C570ABE" w14:textId="06BF96DB" w:rsidR="00944A1C" w:rsidRPr="00AE5D4D" w:rsidRDefault="00944A1C" w:rsidP="00944A1C">
            <w:pPr>
              <w:pStyle w:val="PargrafodaList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Nestes casos pensar em CMV resistente ao antiviral ou má-resposta do hospedeiro. Mais comumente acontece em RN com imunodeficiência primária e em uso de </w:t>
            </w:r>
            <w:proofErr w:type="spellStart"/>
            <w:r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corticóides</w:t>
            </w:r>
            <w:proofErr w:type="spellEnd"/>
            <w:r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.</w:t>
            </w:r>
          </w:p>
        </w:tc>
      </w:tr>
      <w:tr w:rsidR="00944A1C" w:rsidRPr="003227C1" w14:paraId="432712DF" w14:textId="77777777" w:rsidTr="00944A1C">
        <w:trPr>
          <w:trHeight w:val="94"/>
        </w:trPr>
        <w:tc>
          <w:tcPr>
            <w:tcW w:w="9061" w:type="dxa"/>
            <w:gridSpan w:val="2"/>
            <w:shd w:val="clear" w:color="auto" w:fill="E7E6E6" w:themeFill="background2"/>
          </w:tcPr>
          <w:p w14:paraId="63976C6A" w14:textId="4BB4DC6C" w:rsidR="00944A1C" w:rsidRPr="003227C1" w:rsidRDefault="00944A1C" w:rsidP="00283D30">
            <w:pPr>
              <w:pStyle w:val="PargrafodaLista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141413"/>
                <w:sz w:val="20"/>
                <w:szCs w:val="20"/>
              </w:rPr>
            </w:pPr>
            <w:r w:rsidRPr="003227C1">
              <w:rPr>
                <w:rFonts w:asciiTheme="minorHAnsi" w:eastAsiaTheme="minorHAnsi" w:hAnsiTheme="minorHAnsi" w:cstheme="minorHAnsi"/>
                <w:b/>
                <w:color w:val="141413"/>
                <w:sz w:val="20"/>
                <w:szCs w:val="20"/>
              </w:rPr>
              <w:t>QUAL O SEGUIMENTO RECOMENDADO APÓS A ALTA? PIDJ, 2017</w:t>
            </w:r>
          </w:p>
        </w:tc>
      </w:tr>
      <w:tr w:rsidR="00944A1C" w14:paraId="04D7851F" w14:textId="77777777" w:rsidTr="00BB03BA">
        <w:trPr>
          <w:trHeight w:val="94"/>
        </w:trPr>
        <w:tc>
          <w:tcPr>
            <w:tcW w:w="9061" w:type="dxa"/>
            <w:gridSpan w:val="2"/>
          </w:tcPr>
          <w:p w14:paraId="08212F02" w14:textId="5C552F6C" w:rsidR="00944A1C" w:rsidRPr="00944A1C" w:rsidRDefault="00944A1C" w:rsidP="00283D30">
            <w:pPr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4A1C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Avaliação </w:t>
            </w:r>
            <w:proofErr w:type="spellStart"/>
            <w:r w:rsidRPr="00944A1C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>audiológica</w:t>
            </w:r>
            <w:proofErr w:type="spellEnd"/>
            <w:r w:rsidRPr="00944A1C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:  </w:t>
            </w:r>
            <w:proofErr w:type="spellStart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>Emissões</w:t>
            </w:r>
            <w:proofErr w:type="spellEnd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>otoacústicas</w:t>
            </w:r>
            <w:proofErr w:type="spellEnd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 xml:space="preserve"> ao nascimento e potencial evocado da </w:t>
            </w:r>
            <w:proofErr w:type="spellStart"/>
            <w:proofErr w:type="gramStart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>audição</w:t>
            </w:r>
            <w:proofErr w:type="spellEnd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 xml:space="preserve">  (</w:t>
            </w:r>
            <w:proofErr w:type="gramEnd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 xml:space="preserve">BERA) 0, 3, 6, 12, 18, 24, 30 e 36 meses. A partir dessa idade, avaliação auditiva anual. </w:t>
            </w:r>
          </w:p>
          <w:p w14:paraId="7C1506D6" w14:textId="77777777" w:rsidR="00944A1C" w:rsidRPr="00944A1C" w:rsidRDefault="00944A1C" w:rsidP="00283D30">
            <w:pPr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141413"/>
                <w:sz w:val="20"/>
                <w:szCs w:val="20"/>
              </w:rPr>
            </w:pPr>
            <w:r w:rsidRPr="00944A1C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lastRenderedPageBreak/>
              <w:t>Avaliação oftálmica: avaliação inicial e posteriormente conforme orientação do oftalmologista, sendo no mínimo anual até a idade de 5 anos para aqueles com sinais ou sintomas detectáveis clinicamente ao nascimento</w:t>
            </w:r>
          </w:p>
          <w:p w14:paraId="4DB438E7" w14:textId="77777777" w:rsidR="00944A1C" w:rsidRPr="00944A1C" w:rsidRDefault="00944A1C" w:rsidP="00283D30">
            <w:pPr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141413"/>
                <w:sz w:val="20"/>
                <w:szCs w:val="20"/>
              </w:rPr>
            </w:pPr>
            <w:r w:rsidRPr="00944A1C">
              <w:rPr>
                <w:rFonts w:asciiTheme="minorHAnsi" w:hAnsiTheme="minorHAnsi" w:cstheme="minorHAnsi"/>
                <w:color w:val="141413"/>
                <w:sz w:val="20"/>
                <w:szCs w:val="20"/>
              </w:rPr>
              <w:t>Infectologista</w:t>
            </w:r>
          </w:p>
          <w:p w14:paraId="15F7C4D2" w14:textId="77777777" w:rsidR="00944A1C" w:rsidRPr="00944A1C" w:rsidRDefault="00944A1C" w:rsidP="00283D30">
            <w:pPr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141413"/>
                <w:sz w:val="20"/>
                <w:szCs w:val="20"/>
              </w:rPr>
            </w:pPr>
            <w:r w:rsidRPr="00944A1C">
              <w:rPr>
                <w:rFonts w:asciiTheme="minorHAnsi" w:eastAsiaTheme="minorHAnsi" w:hAnsiTheme="minorHAnsi" w:cstheme="minorHAnsi"/>
                <w:color w:val="141413"/>
                <w:sz w:val="20"/>
                <w:szCs w:val="20"/>
              </w:rPr>
              <w:t xml:space="preserve">Otorrinolaringologista </w:t>
            </w:r>
          </w:p>
          <w:p w14:paraId="3C07864A" w14:textId="77777777" w:rsidR="00944A1C" w:rsidRDefault="00944A1C" w:rsidP="00283D30">
            <w:pPr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141413"/>
                <w:sz w:val="20"/>
                <w:szCs w:val="20"/>
              </w:rPr>
            </w:pPr>
            <w:r w:rsidRPr="00944A1C">
              <w:rPr>
                <w:rFonts w:asciiTheme="minorHAnsi" w:hAnsiTheme="minorHAnsi" w:cstheme="minorHAnsi"/>
                <w:color w:val="141413"/>
                <w:sz w:val="20"/>
                <w:szCs w:val="20"/>
              </w:rPr>
              <w:t xml:space="preserve">Neuropediatra </w:t>
            </w:r>
          </w:p>
          <w:p w14:paraId="2BA359C0" w14:textId="77777777" w:rsidR="00944A1C" w:rsidRDefault="00944A1C" w:rsidP="00283D30">
            <w:pPr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14141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41413"/>
                <w:sz w:val="20"/>
                <w:szCs w:val="20"/>
              </w:rPr>
              <w:t>Fisioterapia</w:t>
            </w:r>
          </w:p>
          <w:p w14:paraId="598CAD0C" w14:textId="37B61769" w:rsidR="00944A1C" w:rsidRPr="00944A1C" w:rsidRDefault="00944A1C" w:rsidP="00283D30">
            <w:pPr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14141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41413"/>
                <w:sz w:val="20"/>
                <w:szCs w:val="20"/>
              </w:rPr>
              <w:t>Odontologista</w:t>
            </w:r>
          </w:p>
        </w:tc>
      </w:tr>
      <w:tr w:rsidR="00FF7479" w:rsidRPr="003227C1" w14:paraId="3A3F38EB" w14:textId="77777777" w:rsidTr="003227C1">
        <w:trPr>
          <w:trHeight w:val="94"/>
        </w:trPr>
        <w:tc>
          <w:tcPr>
            <w:tcW w:w="9061" w:type="dxa"/>
            <w:gridSpan w:val="2"/>
            <w:shd w:val="clear" w:color="auto" w:fill="E7E6E6" w:themeFill="background2"/>
          </w:tcPr>
          <w:p w14:paraId="503FCA42" w14:textId="522AEF31" w:rsidR="00FF7479" w:rsidRPr="003227C1" w:rsidRDefault="00944A1C" w:rsidP="00283D30">
            <w:pPr>
              <w:pStyle w:val="PargrafodaLista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227C1">
              <w:rPr>
                <w:rFonts w:asciiTheme="minorHAnsi" w:eastAsia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COMO PREVENIR INFECÇÕES POR CMV NO AMBIENTE HOSPITALAR NEONATAL?</w:t>
            </w:r>
          </w:p>
        </w:tc>
      </w:tr>
      <w:tr w:rsidR="00FF7479" w14:paraId="585E01AB" w14:textId="77777777" w:rsidTr="00BB03BA">
        <w:trPr>
          <w:trHeight w:val="94"/>
        </w:trPr>
        <w:tc>
          <w:tcPr>
            <w:tcW w:w="9061" w:type="dxa"/>
            <w:gridSpan w:val="2"/>
          </w:tcPr>
          <w:p w14:paraId="764B35CC" w14:textId="7F1D7DCC" w:rsidR="00944A1C" w:rsidRDefault="00FF7479" w:rsidP="0088599E">
            <w:pPr>
              <w:pStyle w:val="PargrafodaLista"/>
              <w:numPr>
                <w:ilvl w:val="0"/>
                <w:numId w:val="15"/>
              </w:numPr>
              <w:spacing w:before="100" w:after="1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4A1C">
              <w:rPr>
                <w:rFonts w:asciiTheme="minorHAnsi" w:hAnsiTheme="minorHAnsi" w:cstheme="minorHAnsi"/>
                <w:sz w:val="20"/>
                <w:szCs w:val="20"/>
              </w:rPr>
              <w:t xml:space="preserve">Hemoderivados: </w:t>
            </w:r>
            <w:r w:rsidR="00944A1C">
              <w:rPr>
                <w:rFonts w:asciiTheme="minorHAnsi" w:hAnsiTheme="minorHAnsi" w:cstheme="minorHAnsi"/>
                <w:sz w:val="20"/>
                <w:szCs w:val="20"/>
              </w:rPr>
              <w:t xml:space="preserve">usar sempre </w:t>
            </w:r>
            <w:r w:rsidRPr="00944A1C">
              <w:rPr>
                <w:rFonts w:asciiTheme="minorHAnsi" w:hAnsiTheme="minorHAnsi" w:cstheme="minorHAnsi"/>
                <w:sz w:val="20"/>
                <w:szCs w:val="20"/>
              </w:rPr>
              <w:t xml:space="preserve">filtrados e irradiados para prematuros </w:t>
            </w:r>
            <w:r w:rsidR="00944A1C">
              <w:rPr>
                <w:rFonts w:asciiTheme="minorHAnsi" w:hAnsiTheme="minorHAnsi" w:cstheme="minorHAnsi"/>
                <w:sz w:val="20"/>
                <w:szCs w:val="20"/>
              </w:rPr>
              <w:t>&lt; 32 semanas de IG</w:t>
            </w:r>
            <w:r w:rsidRPr="00944A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96FF4A5" w14:textId="0A057D91" w:rsidR="00D96C42" w:rsidRDefault="00D96C42" w:rsidP="0088599E">
            <w:pPr>
              <w:pStyle w:val="PargrafodaLista"/>
              <w:numPr>
                <w:ilvl w:val="0"/>
                <w:numId w:val="15"/>
              </w:numPr>
              <w:spacing w:before="100" w:after="1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8599E">
              <w:rPr>
                <w:rFonts w:asciiTheme="minorHAnsi" w:hAnsiTheme="minorHAnsi" w:cstheme="minorHAnsi"/>
                <w:sz w:val="20"/>
                <w:szCs w:val="20"/>
              </w:rPr>
              <w:t>REVENÇÃO NOS PREMATUROS &lt;= 32 semanas</w:t>
            </w:r>
          </w:p>
          <w:p w14:paraId="68E1C91B" w14:textId="40A35BB5" w:rsidR="00944A1C" w:rsidRDefault="00FF7479" w:rsidP="0088599E">
            <w:pPr>
              <w:pStyle w:val="PargrafodaLista"/>
              <w:numPr>
                <w:ilvl w:val="1"/>
                <w:numId w:val="15"/>
              </w:numPr>
              <w:spacing w:before="100" w:after="1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4A1C">
              <w:rPr>
                <w:rFonts w:asciiTheme="minorHAnsi" w:hAnsiTheme="minorHAnsi" w:cstheme="minorHAnsi"/>
                <w:sz w:val="20"/>
                <w:szCs w:val="20"/>
              </w:rPr>
              <w:t xml:space="preserve">Leite cru </w:t>
            </w:r>
            <w:r w:rsidR="00E465C2">
              <w:rPr>
                <w:rFonts w:asciiTheme="minorHAnsi" w:hAnsiTheme="minorHAnsi" w:cstheme="minorHAnsi"/>
                <w:sz w:val="20"/>
                <w:szCs w:val="20"/>
              </w:rPr>
              <w:t>apenas</w:t>
            </w:r>
            <w:r w:rsidRPr="00944A1C">
              <w:rPr>
                <w:rFonts w:asciiTheme="minorHAnsi" w:hAnsiTheme="minorHAnsi" w:cstheme="minorHAnsi"/>
                <w:sz w:val="20"/>
                <w:szCs w:val="20"/>
              </w:rPr>
              <w:t xml:space="preserve"> lactantes CMV negativo</w:t>
            </w:r>
            <w:r w:rsidR="00944A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E16B657" w14:textId="1050B0A3" w:rsidR="00FF7479" w:rsidRPr="00944A1C" w:rsidRDefault="00FF7479" w:rsidP="0088599E">
            <w:pPr>
              <w:pStyle w:val="PargrafodaLista"/>
              <w:numPr>
                <w:ilvl w:val="1"/>
                <w:numId w:val="15"/>
              </w:numPr>
              <w:spacing w:before="100" w:after="1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>Pasteurização</w:t>
            </w:r>
            <w:proofErr w:type="spellEnd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 xml:space="preserve"> do leite humano com baixa temperatura e longa </w:t>
            </w:r>
            <w:proofErr w:type="spellStart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>duração</w:t>
            </w:r>
            <w:proofErr w:type="spellEnd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 xml:space="preserve"> (62,5°C por 30 minutos), bem como a </w:t>
            </w:r>
            <w:proofErr w:type="spellStart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>pasteurização</w:t>
            </w:r>
            <w:proofErr w:type="spellEnd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 xml:space="preserve"> de curta </w:t>
            </w:r>
            <w:proofErr w:type="spellStart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>duração</w:t>
            </w:r>
            <w:proofErr w:type="spellEnd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 xml:space="preserve"> e com alta temperatura (72°C por 5 segundos). O processo de </w:t>
            </w:r>
            <w:proofErr w:type="spellStart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>pasteurização</w:t>
            </w:r>
            <w:proofErr w:type="spellEnd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>rápido</w:t>
            </w:r>
            <w:proofErr w:type="spellEnd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 xml:space="preserve"> é menos nocivo para os constituintes </w:t>
            </w:r>
            <w:proofErr w:type="spellStart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>imunológicos</w:t>
            </w:r>
            <w:proofErr w:type="spellEnd"/>
            <w:r w:rsidRPr="00944A1C">
              <w:rPr>
                <w:rFonts w:asciiTheme="minorHAnsi" w:hAnsiTheme="minorHAnsi" w:cstheme="minorHAnsi"/>
                <w:sz w:val="20"/>
                <w:szCs w:val="20"/>
              </w:rPr>
              <w:t xml:space="preserve"> do leite humano. </w:t>
            </w:r>
          </w:p>
        </w:tc>
      </w:tr>
    </w:tbl>
    <w:p w14:paraId="30BC13E4" w14:textId="34890E1B" w:rsidR="005873E6" w:rsidRPr="00223EF6" w:rsidRDefault="00B4676C" w:rsidP="00747422">
      <w:pPr>
        <w:pStyle w:val="Default"/>
        <w:jc w:val="both"/>
        <w:rPr>
          <w:rFonts w:ascii="Calibri" w:hAnsi="Calibri" w:cs="Calibri"/>
          <w:b/>
          <w:i/>
          <w:sz w:val="20"/>
          <w:szCs w:val="20"/>
        </w:rPr>
      </w:pPr>
      <w:r w:rsidRPr="00223EF6">
        <w:rPr>
          <w:rFonts w:ascii="Calibri" w:hAnsi="Calibri" w:cs="Calibri"/>
          <w:b/>
          <w:i/>
          <w:sz w:val="20"/>
          <w:szCs w:val="20"/>
        </w:rPr>
        <w:t>REFERÊNCIAS:</w:t>
      </w:r>
    </w:p>
    <w:p w14:paraId="3662B0D9" w14:textId="5BB84AA5" w:rsidR="00177998" w:rsidRDefault="00356753" w:rsidP="0017799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223EF6">
        <w:rPr>
          <w:rFonts w:asciiTheme="minorHAnsi" w:hAnsiTheme="minorHAnsi" w:cstheme="minorHAnsi"/>
          <w:bCs/>
          <w:i/>
          <w:iCs/>
          <w:sz w:val="20"/>
          <w:szCs w:val="20"/>
        </w:rPr>
        <w:t>FEBRASGO. PROTOCOS OBSTETRICIA 97/2018. CITOMEGALOVIRUS E GRAVIDEZ, 2018.</w:t>
      </w:r>
      <w:r w:rsidR="00223EF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Disponível online em: </w:t>
      </w:r>
      <w:r w:rsidRPr="00223EF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hyperlink r:id="rId9" w:history="1">
        <w:r w:rsidR="00177998" w:rsidRPr="00D65277">
          <w:rPr>
            <w:rStyle w:val="Hyperlink"/>
            <w:rFonts w:asciiTheme="minorHAnsi" w:hAnsiTheme="minorHAnsi" w:cstheme="minorHAnsi"/>
            <w:bCs/>
            <w:i/>
            <w:iCs/>
            <w:sz w:val="20"/>
            <w:szCs w:val="20"/>
          </w:rPr>
          <w:t>https://edisciplinas.usp.br/pluginfile.php/5878394/mod_folder/content/0/Citomegalovirus%20e-Gravidez.pdf?forcedownload=1</w:t>
        </w:r>
      </w:hyperlink>
    </w:p>
    <w:p w14:paraId="48147E66" w14:textId="28AF9053" w:rsidR="00177998" w:rsidRPr="00177998" w:rsidRDefault="00177998" w:rsidP="0017799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</w:pPr>
      <w:r w:rsidRPr="00177998"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 xml:space="preserve">Rawlinson WD et al. Congenital cytomegalovirus infection in </w:t>
      </w:r>
      <w:r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>pregnancy and the neonate: consensus recommendations for prevention, diagnosis and therapy. Lancet 2017 (17</w:t>
      </w:r>
      <w:proofErr w:type="gramStart"/>
      <w:r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>):e</w:t>
      </w:r>
      <w:proofErr w:type="gramEnd"/>
      <w:r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>177-188</w:t>
      </w:r>
    </w:p>
    <w:p w14:paraId="5B24103B" w14:textId="3CC48A72" w:rsidR="00FF7479" w:rsidRPr="00D71D9B" w:rsidRDefault="00D71D9B" w:rsidP="00223EF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</w:pPr>
      <w:proofErr w:type="spellStart"/>
      <w:r w:rsidRPr="00D71D9B"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>Tanimura</w:t>
      </w:r>
      <w:proofErr w:type="spellEnd"/>
      <w:r w:rsidRPr="00D71D9B"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 xml:space="preserve"> K, Yamada H. </w:t>
      </w:r>
      <w:r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 xml:space="preserve">Maternal and neonatal screening methods for congenital cytomegalovirus infection. The Journal of Obstetrics and </w:t>
      </w:r>
      <w:proofErr w:type="spellStart"/>
      <w:r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>Gynaecology</w:t>
      </w:r>
      <w:proofErr w:type="spellEnd"/>
      <w:r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 xml:space="preserve"> Research 2019;45(3):514-521.</w:t>
      </w:r>
    </w:p>
    <w:p w14:paraId="1EF971C7" w14:textId="77777777" w:rsidR="00FB4EA4" w:rsidRPr="00FB4EA4" w:rsidRDefault="00FF7479" w:rsidP="00FB4EA4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 xml:space="preserve">Luck, Suzanne E. </w:t>
      </w:r>
      <w:proofErr w:type="spellStart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>MBChB</w:t>
      </w:r>
      <w:proofErr w:type="spellEnd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MD. Behalf of the ESPID Congenital CMV Group Meeting, Leipzig 2015 Congenital Cytomegalovirus, The Pediatric Infectious Disease Journal: December 2017 - Volume 36 - Issue 12 - p 1205-1213. </w:t>
      </w:r>
      <w:proofErr w:type="spellStart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>doi</w:t>
      </w:r>
      <w:proofErr w:type="spellEnd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>: 10.1097/INF.0000000000001763</w:t>
      </w:r>
    </w:p>
    <w:p w14:paraId="141631F3" w14:textId="77777777" w:rsidR="00FB4EA4" w:rsidRDefault="00FF7479" w:rsidP="00FB4EA4">
      <w:pPr>
        <w:pStyle w:val="PargrafodaLista"/>
        <w:numPr>
          <w:ilvl w:val="0"/>
          <w:numId w:val="4"/>
        </w:numPr>
        <w:jc w:val="both"/>
        <w:rPr>
          <w:rStyle w:val="Hyperlink"/>
          <w:rFonts w:asciiTheme="minorHAnsi" w:hAnsiTheme="minorHAnsi" w:cstheme="minorHAnsi"/>
          <w:i/>
          <w:color w:val="auto"/>
          <w:sz w:val="20"/>
          <w:szCs w:val="20"/>
          <w:u w:val="none"/>
          <w:lang w:val="en-US"/>
        </w:rPr>
      </w:pPr>
      <w:r w:rsidRPr="00FB4EA4">
        <w:rPr>
          <w:rFonts w:asciiTheme="minorHAnsi" w:hAnsiTheme="minorHAnsi" w:cstheme="minorHAnsi"/>
          <w:i/>
          <w:color w:val="2A2A2A"/>
          <w:sz w:val="20"/>
          <w:szCs w:val="20"/>
          <w:shd w:val="clear" w:color="auto" w:fill="FFFFFF"/>
          <w:lang w:val="en-US"/>
        </w:rPr>
        <w:t xml:space="preserve">Soren Gantt, MD PhD MPH FRCPC, Ari </w:t>
      </w:r>
      <w:proofErr w:type="spellStart"/>
      <w:r w:rsidRPr="00FB4EA4">
        <w:rPr>
          <w:rFonts w:asciiTheme="minorHAnsi" w:hAnsiTheme="minorHAnsi" w:cstheme="minorHAnsi"/>
          <w:i/>
          <w:color w:val="2A2A2A"/>
          <w:sz w:val="20"/>
          <w:szCs w:val="20"/>
          <w:shd w:val="clear" w:color="auto" w:fill="FFFFFF"/>
          <w:lang w:val="en-US"/>
        </w:rPr>
        <w:t>Bitnun</w:t>
      </w:r>
      <w:proofErr w:type="spellEnd"/>
      <w:r w:rsidRPr="00FB4EA4">
        <w:rPr>
          <w:rFonts w:asciiTheme="minorHAnsi" w:hAnsiTheme="minorHAnsi" w:cstheme="minorHAnsi"/>
          <w:i/>
          <w:color w:val="2A2A2A"/>
          <w:sz w:val="20"/>
          <w:szCs w:val="20"/>
          <w:shd w:val="clear" w:color="auto" w:fill="FFFFFF"/>
          <w:lang w:val="en-US"/>
        </w:rPr>
        <w:t xml:space="preserve">, MD MSc FRCPC, Christian Renaud, MD MSc FRCPC, Fatima </w:t>
      </w:r>
      <w:proofErr w:type="spellStart"/>
      <w:r w:rsidRPr="00FB4EA4">
        <w:rPr>
          <w:rFonts w:asciiTheme="minorHAnsi" w:hAnsiTheme="minorHAnsi" w:cstheme="minorHAnsi"/>
          <w:i/>
          <w:color w:val="2A2A2A"/>
          <w:sz w:val="20"/>
          <w:szCs w:val="20"/>
          <w:shd w:val="clear" w:color="auto" w:fill="FFFFFF"/>
          <w:lang w:val="en-US"/>
        </w:rPr>
        <w:t>Kakkar</w:t>
      </w:r>
      <w:proofErr w:type="spellEnd"/>
      <w:r w:rsidRPr="00FB4EA4">
        <w:rPr>
          <w:rFonts w:asciiTheme="minorHAnsi" w:hAnsiTheme="minorHAnsi" w:cstheme="minorHAnsi"/>
          <w:i/>
          <w:color w:val="2A2A2A"/>
          <w:sz w:val="20"/>
          <w:szCs w:val="20"/>
          <w:shd w:val="clear" w:color="auto" w:fill="FFFFFF"/>
          <w:lang w:val="en-US"/>
        </w:rPr>
        <w:t xml:space="preserve">, MD MPH FRCPC, Wendy </w:t>
      </w:r>
      <w:proofErr w:type="spellStart"/>
      <w:r w:rsidRPr="00FB4EA4">
        <w:rPr>
          <w:rFonts w:asciiTheme="minorHAnsi" w:hAnsiTheme="minorHAnsi" w:cstheme="minorHAnsi"/>
          <w:i/>
          <w:color w:val="2A2A2A"/>
          <w:sz w:val="20"/>
          <w:szCs w:val="20"/>
          <w:shd w:val="clear" w:color="auto" w:fill="FFFFFF"/>
          <w:lang w:val="en-US"/>
        </w:rPr>
        <w:t>Vaudry</w:t>
      </w:r>
      <w:proofErr w:type="spellEnd"/>
      <w:r w:rsidRPr="00FB4EA4">
        <w:rPr>
          <w:rFonts w:asciiTheme="minorHAnsi" w:hAnsiTheme="minorHAnsi" w:cstheme="minorHAnsi"/>
          <w:i/>
          <w:color w:val="2A2A2A"/>
          <w:sz w:val="20"/>
          <w:szCs w:val="20"/>
          <w:shd w:val="clear" w:color="auto" w:fill="FFFFFF"/>
          <w:lang w:val="en-US"/>
        </w:rPr>
        <w:t>, MDCM FRCPC, Diagnosis and management of infants with congenital cytomegalovirus infection,</w:t>
      </w:r>
      <w:r w:rsidRPr="00FB4EA4">
        <w:rPr>
          <w:rStyle w:val="apple-converted-space"/>
          <w:rFonts w:asciiTheme="minorHAnsi" w:hAnsiTheme="minorHAnsi" w:cstheme="minorHAnsi"/>
          <w:i/>
          <w:color w:val="2A2A2A"/>
          <w:sz w:val="20"/>
          <w:szCs w:val="20"/>
          <w:shd w:val="clear" w:color="auto" w:fill="FFFFFF"/>
          <w:lang w:val="en-US"/>
        </w:rPr>
        <w:t> </w:t>
      </w:r>
      <w:proofErr w:type="spellStart"/>
      <w:r w:rsidRPr="00FB4EA4">
        <w:rPr>
          <w:rStyle w:val="nfase"/>
          <w:rFonts w:asciiTheme="minorHAnsi" w:hAnsiTheme="minorHAnsi" w:cstheme="minorHAnsi"/>
          <w:i w:val="0"/>
          <w:color w:val="2A2A2A"/>
          <w:sz w:val="20"/>
          <w:szCs w:val="20"/>
          <w:bdr w:val="none" w:sz="0" w:space="0" w:color="auto" w:frame="1"/>
          <w:lang w:val="en-US"/>
        </w:rPr>
        <w:t>Paediatrics</w:t>
      </w:r>
      <w:proofErr w:type="spellEnd"/>
      <w:r w:rsidRPr="00FB4EA4">
        <w:rPr>
          <w:rStyle w:val="nfase"/>
          <w:rFonts w:asciiTheme="minorHAnsi" w:hAnsiTheme="minorHAnsi" w:cstheme="minorHAnsi"/>
          <w:i w:val="0"/>
          <w:color w:val="2A2A2A"/>
          <w:sz w:val="20"/>
          <w:szCs w:val="20"/>
          <w:bdr w:val="none" w:sz="0" w:space="0" w:color="auto" w:frame="1"/>
          <w:lang w:val="en-US"/>
        </w:rPr>
        <w:t xml:space="preserve"> &amp; Child Health</w:t>
      </w:r>
      <w:r w:rsidRPr="00FB4EA4">
        <w:rPr>
          <w:rFonts w:asciiTheme="minorHAnsi" w:hAnsiTheme="minorHAnsi" w:cstheme="minorHAnsi"/>
          <w:i/>
          <w:color w:val="2A2A2A"/>
          <w:sz w:val="20"/>
          <w:szCs w:val="20"/>
          <w:shd w:val="clear" w:color="auto" w:fill="FFFFFF"/>
          <w:lang w:val="en-US"/>
        </w:rPr>
        <w:t>, Volume 22, Issue 2, 1 May 2017, Pages 72–74,</w:t>
      </w:r>
      <w:r w:rsidRPr="00FB4EA4">
        <w:rPr>
          <w:rStyle w:val="apple-converted-space"/>
          <w:rFonts w:asciiTheme="minorHAnsi" w:hAnsiTheme="minorHAnsi" w:cstheme="minorHAnsi"/>
          <w:i/>
          <w:color w:val="2A2A2A"/>
          <w:sz w:val="20"/>
          <w:szCs w:val="20"/>
          <w:shd w:val="clear" w:color="auto" w:fill="FFFFFF"/>
          <w:lang w:val="en-US"/>
        </w:rPr>
        <w:t> </w:t>
      </w:r>
      <w:hyperlink r:id="rId10" w:history="1">
        <w:r w:rsidRPr="00FB4EA4">
          <w:rPr>
            <w:rStyle w:val="Hyperlink"/>
            <w:rFonts w:asciiTheme="minorHAnsi" w:hAnsiTheme="minorHAnsi" w:cstheme="minorHAnsi"/>
            <w:i/>
            <w:sz w:val="20"/>
            <w:szCs w:val="20"/>
            <w:bdr w:val="none" w:sz="0" w:space="0" w:color="auto" w:frame="1"/>
            <w:lang w:val="en-US"/>
          </w:rPr>
          <w:t>https://doi.org/10.1093/pch/pxx002</w:t>
        </w:r>
      </w:hyperlink>
    </w:p>
    <w:p w14:paraId="63FF9BB6" w14:textId="1649462F" w:rsidR="00FF7479" w:rsidRPr="00FB4EA4" w:rsidRDefault="00FF7479" w:rsidP="00FB4EA4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proofErr w:type="spell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Goycochea</w:t>
      </w:r>
      <w:proofErr w:type="spell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 xml:space="preserve">-Valdivia WA, </w:t>
      </w:r>
      <w:proofErr w:type="spell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Baquero-Artigao</w:t>
      </w:r>
      <w:proofErr w:type="spell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 xml:space="preserve"> F, Del </w:t>
      </w:r>
      <w:proofErr w:type="spell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Rosal</w:t>
      </w:r>
      <w:proofErr w:type="spell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 xml:space="preserve"> T, Frick MA, </w:t>
      </w:r>
      <w:proofErr w:type="spell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Rojo</w:t>
      </w:r>
      <w:proofErr w:type="spell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 xml:space="preserve"> P, </w:t>
      </w:r>
      <w:proofErr w:type="spell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Echeverría</w:t>
      </w:r>
      <w:proofErr w:type="spell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 xml:space="preserve"> MJ, </w:t>
      </w:r>
      <w:proofErr w:type="spell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Noguera</w:t>
      </w:r>
      <w:proofErr w:type="spell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 xml:space="preserve">-Julian A, </w:t>
      </w:r>
      <w:proofErr w:type="spell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Bringué</w:t>
      </w:r>
      <w:proofErr w:type="spell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 xml:space="preserve"> X, Saavedra-Lozano J, </w:t>
      </w:r>
      <w:proofErr w:type="spell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Vives-Oñós</w:t>
      </w:r>
      <w:proofErr w:type="spell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 xml:space="preserve"> I, </w:t>
      </w:r>
      <w:proofErr w:type="spell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Moliner</w:t>
      </w:r>
      <w:proofErr w:type="spell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 xml:space="preserve"> E, </w:t>
      </w:r>
      <w:proofErr w:type="spell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Cilleruelo</w:t>
      </w:r>
      <w:proofErr w:type="spell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 xml:space="preserve"> MJ, </w:t>
      </w:r>
      <w:proofErr w:type="spell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Cuadrado</w:t>
      </w:r>
      <w:proofErr w:type="spell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 xml:space="preserve"> I, </w:t>
      </w:r>
      <w:proofErr w:type="spell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Colino</w:t>
      </w:r>
      <w:proofErr w:type="spell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 xml:space="preserve"> E, Castells L, </w:t>
      </w:r>
      <w:proofErr w:type="spell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Tagarro</w:t>
      </w:r>
      <w:proofErr w:type="spell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 xml:space="preserve"> A, Vilas J, </w:t>
      </w:r>
      <w:proofErr w:type="spell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Soler-Palacin</w:t>
      </w:r>
      <w:proofErr w:type="spell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 xml:space="preserve"> P, </w:t>
      </w:r>
      <w:proofErr w:type="spell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Blázquez-Gamero</w:t>
      </w:r>
      <w:proofErr w:type="spell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 xml:space="preserve"> D; Spanish Registry of Infants with Congenital Cytomegalovirus Infection (REDICCMV) Study Group. Cytomegalovirus DNA Detection by Polymerase Chain Reaction in Cerebrospinal Fluid of </w:t>
      </w:r>
      <w:proofErr w:type="spell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InfantsWith</w:t>
      </w:r>
      <w:proofErr w:type="spell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 xml:space="preserve"> Congenital Infection: Associations </w:t>
      </w:r>
      <w:proofErr w:type="gram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With</w:t>
      </w:r>
      <w:proofErr w:type="gram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 xml:space="preserve"> Clinical Evaluation at Birth and Implications for Follow-up. </w:t>
      </w:r>
      <w:proofErr w:type="spell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Clin</w:t>
      </w:r>
      <w:proofErr w:type="spell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 xml:space="preserve"> Infect Dis. 2017 May 15;64(10):1335-1342. </w:t>
      </w:r>
      <w:proofErr w:type="spell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doi</w:t>
      </w:r>
      <w:proofErr w:type="spell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: 10.1093/</w:t>
      </w:r>
      <w:proofErr w:type="spell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cid</w:t>
      </w:r>
      <w:proofErr w:type="spell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 xml:space="preserve">/cix105. Erratum in: </w:t>
      </w:r>
      <w:proofErr w:type="spellStart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>Clin</w:t>
      </w:r>
      <w:proofErr w:type="spellEnd"/>
      <w:r w:rsidRPr="00FB4EA4">
        <w:rPr>
          <w:rFonts w:asciiTheme="minorHAnsi" w:hAnsiTheme="minorHAnsi" w:cstheme="minorHAnsi"/>
          <w:i/>
          <w:sz w:val="20"/>
          <w:szCs w:val="20"/>
          <w:lang w:val="en-US"/>
        </w:rPr>
        <w:t xml:space="preserve"> Infect Dis. 2017 Oct 15;65(8):1431-1433. PMID: 28158709.</w:t>
      </w:r>
    </w:p>
    <w:p w14:paraId="4CDA4F07" w14:textId="24E629D1" w:rsidR="00FF7479" w:rsidRPr="00223EF6" w:rsidRDefault="00FF7479" w:rsidP="00223EF6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>Yamaguchi A, Oh-</w:t>
      </w:r>
      <w:proofErr w:type="spellStart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>Ishi</w:t>
      </w:r>
      <w:proofErr w:type="spellEnd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 xml:space="preserve"> T, Arai T, Sakata H, Adachi N, Asanuma S, Oguma E, Kimoto H, Matsumoto J, Fujita H, </w:t>
      </w:r>
      <w:proofErr w:type="spellStart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>Uesato</w:t>
      </w:r>
      <w:proofErr w:type="spellEnd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 xml:space="preserve"> T, Fujita J, </w:t>
      </w:r>
      <w:proofErr w:type="spellStart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>Shirato</w:t>
      </w:r>
      <w:proofErr w:type="spellEnd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 xml:space="preserve"> K, </w:t>
      </w:r>
      <w:proofErr w:type="spellStart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>Ohno</w:t>
      </w:r>
      <w:proofErr w:type="spellEnd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 xml:space="preserve"> H, Kizaki T. Screening for seemingly healthy newborns with congenital cytomegalovirus infection by quantitative real-time polymerase chain reaction using newborn urine: an observational study. BMJ Open. 2017 Jan 20;7(1</w:t>
      </w:r>
      <w:proofErr w:type="gramStart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>):e</w:t>
      </w:r>
      <w:proofErr w:type="gramEnd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 xml:space="preserve">013810. </w:t>
      </w:r>
      <w:proofErr w:type="spellStart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>doi</w:t>
      </w:r>
      <w:proofErr w:type="spellEnd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>: 10.1136/bmjopen-2016-013810. PMID: 28110288; PMCID: PMC5253530.</w:t>
      </w:r>
    </w:p>
    <w:p w14:paraId="73F8B6EB" w14:textId="2BD898AC" w:rsidR="00FF7479" w:rsidRPr="00223EF6" w:rsidRDefault="00FF7479" w:rsidP="00223EF6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proofErr w:type="spellStart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>Kimberlin</w:t>
      </w:r>
      <w:proofErr w:type="spellEnd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 xml:space="preserve"> DW, Acosta EP, Sánchez PJ, et al. Pharmacokinetic and </w:t>
      </w:r>
      <w:proofErr w:type="spellStart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>Pharmacodynamic</w:t>
      </w:r>
      <w:proofErr w:type="spellEnd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 xml:space="preserve"> Assessment of Oral </w:t>
      </w:r>
      <w:proofErr w:type="spellStart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>Valganciclovir</w:t>
      </w:r>
      <w:proofErr w:type="spellEnd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 xml:space="preserve"> in the Treatment of Symptomatic Congenital Cytomegalovirus Disease. </w:t>
      </w:r>
      <w:r w:rsidRPr="00223EF6">
        <w:rPr>
          <w:rFonts w:asciiTheme="minorHAnsi" w:hAnsiTheme="minorHAnsi" w:cstheme="minorHAnsi"/>
          <w:i/>
          <w:iCs/>
          <w:sz w:val="20"/>
          <w:szCs w:val="20"/>
          <w:lang w:val="en-US"/>
        </w:rPr>
        <w:t>J Infect Dis.</w:t>
      </w:r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 xml:space="preserve"> 2008;197(6):836-845.</w:t>
      </w:r>
      <w:r w:rsidRPr="00223EF6">
        <w:rPr>
          <w:rStyle w:val="pubmed-id"/>
          <w:rFonts w:asciiTheme="minorHAnsi" w:hAnsiTheme="minorHAnsi" w:cstheme="minorHAnsi"/>
          <w:i/>
          <w:sz w:val="20"/>
          <w:szCs w:val="20"/>
          <w:lang w:val="en-US"/>
        </w:rPr>
        <w:t xml:space="preserve"> [PubMed </w:t>
      </w:r>
      <w:hyperlink r:id="rId11" w:tgtFrame="_blank" w:history="1">
        <w:r w:rsidRPr="00223EF6">
          <w:rPr>
            <w:rStyle w:val="Hyperlink"/>
            <w:rFonts w:asciiTheme="minorHAnsi" w:hAnsiTheme="minorHAnsi" w:cstheme="minorHAnsi"/>
            <w:i/>
            <w:sz w:val="20"/>
            <w:szCs w:val="20"/>
            <w:lang w:val="en-US"/>
          </w:rPr>
          <w:t>18279073</w:t>
        </w:r>
      </w:hyperlink>
      <w:r w:rsidRPr="00223EF6">
        <w:rPr>
          <w:rStyle w:val="pubmed-id"/>
          <w:rFonts w:asciiTheme="minorHAnsi" w:hAnsiTheme="minorHAnsi" w:cstheme="minorHAnsi"/>
          <w:i/>
          <w:sz w:val="20"/>
          <w:szCs w:val="20"/>
          <w:lang w:val="en-US"/>
        </w:rPr>
        <w:t>]</w:t>
      </w:r>
    </w:p>
    <w:p w14:paraId="278E4371" w14:textId="1B9C08FA" w:rsidR="00FF7479" w:rsidRPr="00223EF6" w:rsidRDefault="00FF7479" w:rsidP="00223EF6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 xml:space="preserve">Gail J </w:t>
      </w:r>
      <w:proofErr w:type="spellStart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>Demmler</w:t>
      </w:r>
      <w:proofErr w:type="spellEnd"/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 xml:space="preserve">-Harrison, MD; Congenital cytomegalovirus infection: Clinical features and diagnosis; </w:t>
      </w:r>
      <w:r w:rsidRPr="00223EF6">
        <w:rPr>
          <w:rStyle w:val="nfase1"/>
          <w:rFonts w:asciiTheme="minorHAnsi" w:hAnsiTheme="minorHAnsi" w:cstheme="minorHAnsi"/>
          <w:i/>
          <w:sz w:val="20"/>
          <w:szCs w:val="20"/>
          <w:lang w:val="en-US"/>
        </w:rPr>
        <w:t>Literature review current through:</w:t>
      </w:r>
      <w:r w:rsidRPr="00223EF6">
        <w:rPr>
          <w:rFonts w:asciiTheme="minorHAnsi" w:hAnsiTheme="minorHAnsi" w:cstheme="minorHAnsi"/>
          <w:i/>
          <w:sz w:val="20"/>
          <w:szCs w:val="20"/>
          <w:lang w:val="en-US"/>
        </w:rPr>
        <w:t> Jan 2021. https://www.uptodate.com/contents/congenital-cytomegalovirus-infection-clinical-features-and-diagnosis</w:t>
      </w:r>
    </w:p>
    <w:p w14:paraId="0B1B584C" w14:textId="74BF26A4" w:rsidR="00FF7479" w:rsidRPr="00223EF6" w:rsidRDefault="00FF7479" w:rsidP="00223EF6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223EF6">
        <w:rPr>
          <w:rFonts w:asciiTheme="minorHAnsi" w:hAnsiTheme="minorHAnsi" w:cstheme="minorHAnsi"/>
          <w:i/>
          <w:sz w:val="20"/>
          <w:szCs w:val="20"/>
        </w:rPr>
        <w:lastRenderedPageBreak/>
        <w:t>Atenção</w:t>
      </w:r>
      <w:proofErr w:type="spellEnd"/>
      <w:r w:rsidRPr="00223EF6">
        <w:rPr>
          <w:rFonts w:asciiTheme="minorHAnsi" w:hAnsiTheme="minorHAnsi" w:cstheme="minorHAnsi"/>
          <w:i/>
          <w:sz w:val="20"/>
          <w:szCs w:val="20"/>
        </w:rPr>
        <w:t xml:space="preserve"> à </w:t>
      </w:r>
      <w:proofErr w:type="spellStart"/>
      <w:r w:rsidRPr="00223EF6">
        <w:rPr>
          <w:rFonts w:asciiTheme="minorHAnsi" w:hAnsiTheme="minorHAnsi" w:cstheme="minorHAnsi"/>
          <w:i/>
          <w:sz w:val="20"/>
          <w:szCs w:val="20"/>
        </w:rPr>
        <w:t>Saúde</w:t>
      </w:r>
      <w:proofErr w:type="spellEnd"/>
      <w:r w:rsidRPr="00223EF6">
        <w:rPr>
          <w:rFonts w:asciiTheme="minorHAnsi" w:hAnsiTheme="minorHAnsi" w:cstheme="minorHAnsi"/>
          <w:i/>
          <w:sz w:val="20"/>
          <w:szCs w:val="20"/>
        </w:rPr>
        <w:t xml:space="preserve"> do </w:t>
      </w:r>
      <w:proofErr w:type="spellStart"/>
      <w:r w:rsidRPr="00223EF6">
        <w:rPr>
          <w:rFonts w:asciiTheme="minorHAnsi" w:hAnsiTheme="minorHAnsi" w:cstheme="minorHAnsi"/>
          <w:i/>
          <w:sz w:val="20"/>
          <w:szCs w:val="20"/>
        </w:rPr>
        <w:t>recém-nascido</w:t>
      </w:r>
      <w:proofErr w:type="spellEnd"/>
      <w:r w:rsidRPr="00223EF6">
        <w:rPr>
          <w:rFonts w:asciiTheme="minorHAnsi" w:hAnsiTheme="minorHAnsi" w:cstheme="minorHAnsi"/>
          <w:i/>
          <w:sz w:val="20"/>
          <w:szCs w:val="20"/>
        </w:rPr>
        <w:t xml:space="preserve"> – Guia para os Profissionais de </w:t>
      </w:r>
      <w:proofErr w:type="spellStart"/>
      <w:r w:rsidRPr="00223EF6">
        <w:rPr>
          <w:rFonts w:asciiTheme="minorHAnsi" w:hAnsiTheme="minorHAnsi" w:cstheme="minorHAnsi"/>
          <w:i/>
          <w:sz w:val="20"/>
          <w:szCs w:val="20"/>
        </w:rPr>
        <w:t>Saúde</w:t>
      </w:r>
      <w:proofErr w:type="spellEnd"/>
      <w:r w:rsidRPr="00223EF6">
        <w:rPr>
          <w:rFonts w:asciiTheme="minorHAnsi" w:hAnsiTheme="minorHAnsi" w:cstheme="minorHAnsi"/>
          <w:i/>
          <w:sz w:val="20"/>
          <w:szCs w:val="20"/>
        </w:rPr>
        <w:t xml:space="preserve">; </w:t>
      </w:r>
      <w:proofErr w:type="spellStart"/>
      <w:r w:rsidRPr="00223EF6">
        <w:rPr>
          <w:rFonts w:asciiTheme="minorHAnsi" w:hAnsiTheme="minorHAnsi" w:cstheme="minorHAnsi"/>
          <w:i/>
          <w:sz w:val="20"/>
          <w:szCs w:val="20"/>
        </w:rPr>
        <w:t>Ministério</w:t>
      </w:r>
      <w:proofErr w:type="spellEnd"/>
      <w:r w:rsidRPr="00223EF6">
        <w:rPr>
          <w:rFonts w:asciiTheme="minorHAnsi" w:hAnsiTheme="minorHAnsi" w:cstheme="minorHAnsi"/>
          <w:i/>
          <w:sz w:val="20"/>
          <w:szCs w:val="20"/>
        </w:rPr>
        <w:t xml:space="preserve"> da </w:t>
      </w:r>
      <w:proofErr w:type="spellStart"/>
      <w:r w:rsidRPr="00223EF6">
        <w:rPr>
          <w:rFonts w:asciiTheme="minorHAnsi" w:hAnsiTheme="minorHAnsi" w:cstheme="minorHAnsi"/>
          <w:i/>
          <w:sz w:val="20"/>
          <w:szCs w:val="20"/>
        </w:rPr>
        <w:t>Saúde</w:t>
      </w:r>
      <w:proofErr w:type="spellEnd"/>
      <w:r w:rsidRPr="00223EF6">
        <w:rPr>
          <w:rFonts w:asciiTheme="minorHAnsi" w:hAnsiTheme="minorHAnsi" w:cstheme="minorHAnsi"/>
          <w:i/>
          <w:sz w:val="20"/>
          <w:szCs w:val="20"/>
        </w:rPr>
        <w:t>, livro 2, pg126-136.</w:t>
      </w:r>
    </w:p>
    <w:p w14:paraId="331709B1" w14:textId="7AF02AEC" w:rsidR="00FF7479" w:rsidRPr="00223EF6" w:rsidRDefault="00FF7479" w:rsidP="00223EF6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23EF6">
        <w:rPr>
          <w:rFonts w:asciiTheme="minorHAnsi" w:hAnsiTheme="minorHAnsi" w:cstheme="minorHAnsi"/>
          <w:i/>
          <w:sz w:val="20"/>
          <w:szCs w:val="20"/>
        </w:rPr>
        <w:t xml:space="preserve">Doenças maternas infecciosas e amamentação. Guia Prático de </w:t>
      </w:r>
      <w:proofErr w:type="spellStart"/>
      <w:r w:rsidRPr="00223EF6">
        <w:rPr>
          <w:rFonts w:asciiTheme="minorHAnsi" w:hAnsiTheme="minorHAnsi" w:cstheme="minorHAnsi"/>
          <w:i/>
          <w:sz w:val="20"/>
          <w:szCs w:val="20"/>
        </w:rPr>
        <w:t>atualiação</w:t>
      </w:r>
      <w:proofErr w:type="spellEnd"/>
      <w:r w:rsidRPr="00223EF6">
        <w:rPr>
          <w:rFonts w:asciiTheme="minorHAnsi" w:hAnsiTheme="minorHAnsi" w:cstheme="minorHAnsi"/>
          <w:i/>
          <w:sz w:val="20"/>
          <w:szCs w:val="20"/>
        </w:rPr>
        <w:t xml:space="preserve"> do departamento cientifico de Aleitamento materno – SBP – 2019. </w:t>
      </w:r>
    </w:p>
    <w:p w14:paraId="1E75173B" w14:textId="4881FB5D" w:rsidR="00FF7479" w:rsidRDefault="00FF7479" w:rsidP="00223EF6">
      <w:pPr>
        <w:pStyle w:val="PargrafodaLista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D950A28" w14:textId="6A787B5B" w:rsidR="00BC0272" w:rsidRDefault="00BC0272" w:rsidP="00223EF6">
      <w:pPr>
        <w:pStyle w:val="PargrafodaLista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B213A23" w14:textId="12217F4C" w:rsidR="00BC0272" w:rsidRDefault="00BC0272" w:rsidP="00223EF6">
      <w:pPr>
        <w:pStyle w:val="PargrafodaLista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76EE6D9" w14:textId="77777777" w:rsidR="00BC0272" w:rsidRDefault="00BC0272" w:rsidP="00BC0272">
      <w:pPr>
        <w:spacing w:after="0" w:line="240" w:lineRule="auto"/>
        <w:ind w:right="-1"/>
        <w:jc w:val="both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C0272" w:rsidRPr="003A52FB" w14:paraId="4A15BB86" w14:textId="77777777" w:rsidTr="005F6B96">
        <w:trPr>
          <w:trHeight w:val="136"/>
        </w:trPr>
        <w:tc>
          <w:tcPr>
            <w:tcW w:w="2268" w:type="dxa"/>
            <w:shd w:val="clear" w:color="auto" w:fill="D9D9D9"/>
          </w:tcPr>
          <w:p w14:paraId="749AFD01" w14:textId="77777777" w:rsidR="00BC0272" w:rsidRPr="002F1CC4" w:rsidRDefault="00BC0272" w:rsidP="005F6B9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14:paraId="78E8F809" w14:textId="77777777" w:rsidR="00BC0272" w:rsidRPr="002F1CC4" w:rsidRDefault="00BC0272" w:rsidP="005F6B9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14:paraId="1C806809" w14:textId="77777777" w:rsidR="00BC0272" w:rsidRPr="002F1CC4" w:rsidRDefault="00BC0272" w:rsidP="005F6B9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14:paraId="0523D101" w14:textId="77777777" w:rsidR="00BC0272" w:rsidRPr="002F1CC4" w:rsidRDefault="00BC0272" w:rsidP="005F6B9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BC0272" w:rsidRPr="003A52FB" w14:paraId="659B6B65" w14:textId="77777777" w:rsidTr="005F6B96">
        <w:trPr>
          <w:trHeight w:val="958"/>
        </w:trPr>
        <w:tc>
          <w:tcPr>
            <w:tcW w:w="2268" w:type="dxa"/>
          </w:tcPr>
          <w:p w14:paraId="3EC7EB4E" w14:textId="77777777" w:rsidR="00BC0272" w:rsidRDefault="00BC0272" w:rsidP="005F6B96">
            <w:pPr>
              <w:pStyle w:val="Rodap"/>
              <w:jc w:val="center"/>
              <w:rPr>
                <w:rFonts w:cs="Arial"/>
                <w:sz w:val="16"/>
                <w:szCs w:val="16"/>
              </w:rPr>
            </w:pPr>
          </w:p>
          <w:p w14:paraId="104E05DF" w14:textId="77777777" w:rsidR="00BC0272" w:rsidRDefault="00BC0272" w:rsidP="00BC0272">
            <w:pPr>
              <w:pStyle w:val="Rodap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PATRÍCIA ISHI</w:t>
            </w:r>
          </w:p>
          <w:p w14:paraId="1C43E8E5" w14:textId="77777777" w:rsidR="00BC0272" w:rsidRDefault="00BC0272" w:rsidP="00BC0272">
            <w:pPr>
              <w:pStyle w:val="Rodap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Coordenadora M</w:t>
            </w:r>
            <w:r w:rsidRPr="00063FB3">
              <w:rPr>
                <w:sz w:val="20"/>
                <w:szCs w:val="20"/>
              </w:rPr>
              <w:t>édica UTIN</w:t>
            </w:r>
          </w:p>
          <w:p w14:paraId="744A6B76" w14:textId="77777777" w:rsidR="00BC0272" w:rsidRDefault="00BC0272" w:rsidP="00BC0272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JULIANO SIMÕES</w:t>
            </w:r>
          </w:p>
          <w:p w14:paraId="660978A3" w14:textId="2C9AE1D1" w:rsidR="00BC0272" w:rsidRDefault="00BC0272" w:rsidP="00BC0272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Médico da Obstetrícia</w:t>
            </w:r>
          </w:p>
          <w:p w14:paraId="1465FF47" w14:textId="77777777" w:rsidR="00BC0272" w:rsidRDefault="00BC0272" w:rsidP="00BC0272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MÁRCIO ALVES</w:t>
            </w:r>
          </w:p>
          <w:p w14:paraId="6E7BB304" w14:textId="0A078694" w:rsidR="00BC0272" w:rsidRDefault="00BC0272" w:rsidP="00BC0272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 Clí</w:t>
            </w:r>
            <w:r>
              <w:rPr>
                <w:sz w:val="20"/>
                <w:szCs w:val="20"/>
              </w:rPr>
              <w:t>nico</w:t>
            </w:r>
          </w:p>
          <w:p w14:paraId="649D1C81" w14:textId="6164AE33" w:rsidR="00BC0272" w:rsidRPr="001763ED" w:rsidRDefault="00BC0272" w:rsidP="00BC0272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A5B772C" w14:textId="77777777" w:rsidR="00BC0272" w:rsidRDefault="00BC0272" w:rsidP="005F6B96">
            <w:pPr>
              <w:pStyle w:val="Rodap"/>
              <w:rPr>
                <w:rFonts w:cs="Arial"/>
                <w:sz w:val="16"/>
                <w:szCs w:val="16"/>
              </w:rPr>
            </w:pPr>
          </w:p>
          <w:p w14:paraId="21F7CBEC" w14:textId="77777777" w:rsidR="00BC0272" w:rsidRPr="00BC0272" w:rsidRDefault="00BC0272" w:rsidP="005F6B96">
            <w:pPr>
              <w:pStyle w:val="Rodap"/>
              <w:jc w:val="center"/>
              <w:rPr>
                <w:rFonts w:cs="Arial"/>
                <w:sz w:val="20"/>
                <w:szCs w:val="18"/>
              </w:rPr>
            </w:pPr>
          </w:p>
          <w:p w14:paraId="3A56D6CE" w14:textId="77777777" w:rsidR="00BC0272" w:rsidRPr="00BC0272" w:rsidRDefault="00BC0272" w:rsidP="005F6B96">
            <w:pPr>
              <w:pStyle w:val="Rodap"/>
              <w:jc w:val="center"/>
              <w:rPr>
                <w:rFonts w:cs="Arial"/>
                <w:sz w:val="20"/>
                <w:szCs w:val="18"/>
              </w:rPr>
            </w:pPr>
            <w:r w:rsidRPr="00BC0272">
              <w:rPr>
                <w:rFonts w:cs="Arial"/>
                <w:sz w:val="20"/>
                <w:szCs w:val="18"/>
              </w:rPr>
              <w:t>MARCOS ALVES PAVIONE</w:t>
            </w:r>
          </w:p>
          <w:p w14:paraId="307B6DE9" w14:textId="77777777" w:rsidR="00BC0272" w:rsidRPr="00B71FC2" w:rsidRDefault="00BC0272" w:rsidP="005F6B96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  <w:r w:rsidRPr="00BC0272">
              <w:rPr>
                <w:rFonts w:cs="Arial"/>
                <w:sz w:val="20"/>
                <w:szCs w:val="18"/>
              </w:rPr>
              <w:t>Diretor Técnico</w:t>
            </w:r>
          </w:p>
        </w:tc>
        <w:tc>
          <w:tcPr>
            <w:tcW w:w="2268" w:type="dxa"/>
          </w:tcPr>
          <w:p w14:paraId="0A344BA7" w14:textId="77777777" w:rsidR="00BC0272" w:rsidRPr="002A0A40" w:rsidRDefault="00BC0272" w:rsidP="005F6B96">
            <w:pPr>
              <w:pStyle w:val="Rodap"/>
              <w:jc w:val="center"/>
              <w:rPr>
                <w:rFonts w:cs="Arial"/>
                <w:sz w:val="16"/>
                <w:szCs w:val="16"/>
              </w:rPr>
            </w:pPr>
          </w:p>
          <w:p w14:paraId="13470E80" w14:textId="77777777" w:rsidR="00BC0272" w:rsidRDefault="00BC0272" w:rsidP="005F6B96">
            <w:pPr>
              <w:pStyle w:val="Rodap"/>
              <w:jc w:val="center"/>
              <w:rPr>
                <w:rFonts w:cs="Arial"/>
                <w:sz w:val="16"/>
                <w:szCs w:val="16"/>
              </w:rPr>
            </w:pPr>
          </w:p>
          <w:p w14:paraId="79FE70D5" w14:textId="77777777" w:rsidR="00BC0272" w:rsidRDefault="00BC0272" w:rsidP="00BC0272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MARCOS PAVIONE</w:t>
            </w:r>
          </w:p>
          <w:p w14:paraId="313B8481" w14:textId="77777777" w:rsidR="00BC0272" w:rsidRDefault="00BC0272" w:rsidP="00BC0272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Diretor Técnico  </w:t>
            </w:r>
          </w:p>
          <w:p w14:paraId="53571CB5" w14:textId="77777777" w:rsidR="00BC0272" w:rsidRDefault="00BC0272" w:rsidP="00BC0272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FF52F68" w14:textId="77777777" w:rsidR="00BC0272" w:rsidRDefault="00BC0272" w:rsidP="00BC0272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SAMUEL RODRIGUES </w:t>
            </w:r>
          </w:p>
          <w:p w14:paraId="3E7D5EC4" w14:textId="0C2898F4" w:rsidR="00BC0272" w:rsidRPr="002A0A40" w:rsidRDefault="00BC0272" w:rsidP="00BC0272">
            <w:pPr>
              <w:pStyle w:val="Rodap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Infectologista</w:t>
            </w:r>
          </w:p>
        </w:tc>
        <w:tc>
          <w:tcPr>
            <w:tcW w:w="2268" w:type="dxa"/>
          </w:tcPr>
          <w:p w14:paraId="6AA94B1C" w14:textId="77777777" w:rsidR="00BC0272" w:rsidRDefault="00BC0272" w:rsidP="005F6B96">
            <w:pPr>
              <w:pStyle w:val="Rodap"/>
              <w:jc w:val="center"/>
              <w:rPr>
                <w:rFonts w:cs="Arial"/>
                <w:sz w:val="16"/>
                <w:szCs w:val="16"/>
              </w:rPr>
            </w:pPr>
          </w:p>
          <w:p w14:paraId="7BB35D11" w14:textId="77777777" w:rsidR="00BC0272" w:rsidRPr="00FB7926" w:rsidRDefault="00BC0272" w:rsidP="005F6B96">
            <w:pPr>
              <w:pStyle w:val="Rodap"/>
              <w:jc w:val="center"/>
              <w:rPr>
                <w:rFonts w:cs="Arial"/>
                <w:sz w:val="18"/>
                <w:szCs w:val="18"/>
              </w:rPr>
            </w:pPr>
          </w:p>
          <w:p w14:paraId="2B064499" w14:textId="287B003B" w:rsidR="00BC0272" w:rsidRPr="00BC0272" w:rsidRDefault="00BC0272" w:rsidP="005F6B96">
            <w:pPr>
              <w:pStyle w:val="Rodap"/>
              <w:jc w:val="center"/>
              <w:rPr>
                <w:rFonts w:cs="Arial"/>
                <w:sz w:val="20"/>
                <w:szCs w:val="18"/>
              </w:rPr>
            </w:pPr>
            <w:r w:rsidRPr="00BC0272">
              <w:rPr>
                <w:rFonts w:cs="Arial"/>
                <w:sz w:val="20"/>
                <w:szCs w:val="18"/>
              </w:rPr>
              <w:t>ULLY MARIANNE</w:t>
            </w:r>
            <w:r w:rsidRPr="00BC0272">
              <w:rPr>
                <w:rFonts w:cs="Arial"/>
                <w:sz w:val="20"/>
                <w:szCs w:val="18"/>
              </w:rPr>
              <w:t xml:space="preserve"> F LEMOS</w:t>
            </w:r>
          </w:p>
          <w:p w14:paraId="2A8258F5" w14:textId="77777777" w:rsidR="00BC0272" w:rsidRPr="002A0A40" w:rsidRDefault="00BC0272" w:rsidP="005F6B96">
            <w:pPr>
              <w:pStyle w:val="Rodap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Coordenadora da Q</w:t>
            </w:r>
            <w:r w:rsidRPr="00FB7926">
              <w:rPr>
                <w:rFonts w:cs="Arial"/>
                <w:sz w:val="18"/>
                <w:szCs w:val="18"/>
              </w:rPr>
              <w:t>ualidade</w:t>
            </w:r>
          </w:p>
        </w:tc>
      </w:tr>
      <w:tr w:rsidR="00BC0272" w:rsidRPr="003A52FB" w14:paraId="5CAE6E9D" w14:textId="77777777" w:rsidTr="005F6B96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14:paraId="1673EAF8" w14:textId="29F7D001" w:rsidR="00BC0272" w:rsidRPr="002F1CC4" w:rsidRDefault="00BC0272" w:rsidP="00283DF2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83DF2">
              <w:rPr>
                <w:b/>
                <w:sz w:val="18"/>
                <w:szCs w:val="18"/>
              </w:rPr>
              <w:t>03/03/2021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09E76F" w14:textId="1BABC1FE" w:rsidR="00BC0272" w:rsidRPr="002F1CC4" w:rsidRDefault="00BC0272" w:rsidP="00BC0272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17/04/2024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F008822" w14:textId="34212F91" w:rsidR="00BC0272" w:rsidRPr="002F1CC4" w:rsidRDefault="00BC0272" w:rsidP="00BC0272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19/04</w:t>
            </w:r>
            <w:r>
              <w:rPr>
                <w:b/>
                <w:sz w:val="18"/>
                <w:szCs w:val="18"/>
              </w:rPr>
              <w:t>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2734F1A" w14:textId="71D2702C" w:rsidR="00BC0272" w:rsidRPr="00FB7926" w:rsidRDefault="00BC0272" w:rsidP="00BC0272">
            <w:pPr>
              <w:pStyle w:val="Rodap"/>
              <w:rPr>
                <w:rFonts w:cs="Arial"/>
                <w:b/>
                <w:sz w:val="16"/>
                <w:szCs w:val="16"/>
              </w:rPr>
            </w:pPr>
            <w:r w:rsidRPr="00FB7926">
              <w:rPr>
                <w:rFonts w:cs="Arial"/>
                <w:b/>
                <w:sz w:val="18"/>
                <w:szCs w:val="16"/>
              </w:rPr>
              <w:t xml:space="preserve">Data: </w:t>
            </w:r>
            <w:r>
              <w:rPr>
                <w:rFonts w:cs="Arial"/>
                <w:b/>
                <w:sz w:val="18"/>
                <w:szCs w:val="16"/>
              </w:rPr>
              <w:t>19/04</w:t>
            </w:r>
            <w:r w:rsidRPr="00FB7926">
              <w:rPr>
                <w:rFonts w:cs="Arial"/>
                <w:b/>
                <w:sz w:val="18"/>
                <w:szCs w:val="16"/>
              </w:rPr>
              <w:t>/2024</w:t>
            </w:r>
          </w:p>
        </w:tc>
      </w:tr>
      <w:tr w:rsidR="00BC0272" w:rsidRPr="003A52FB" w14:paraId="7B91C249" w14:textId="77777777" w:rsidTr="005F6B96">
        <w:trPr>
          <w:trHeight w:val="1762"/>
        </w:trPr>
        <w:tc>
          <w:tcPr>
            <w:tcW w:w="9072" w:type="dxa"/>
            <w:gridSpan w:val="4"/>
            <w:shd w:val="clear" w:color="auto" w:fill="FFFFFF" w:themeFill="background1"/>
          </w:tcPr>
          <w:p w14:paraId="2F2A18C0" w14:textId="77777777" w:rsidR="00BC0272" w:rsidRDefault="00BC0272" w:rsidP="005F6B9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14:paraId="6B6E2517" w14:textId="132FE327" w:rsidR="00BC0272" w:rsidRPr="002F1CC4" w:rsidRDefault="00BC0272" w:rsidP="005F6B9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23B7437A" wp14:editId="48A4636E">
                  <wp:extent cx="1738280" cy="566268"/>
                  <wp:effectExtent l="0" t="0" r="0" b="571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338" cy="5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7AE8FBBB" wp14:editId="6BFB223C">
                  <wp:extent cx="1403586" cy="795020"/>
                  <wp:effectExtent l="0" t="0" r="6350" b="508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r Samuel Rodrigues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397" cy="808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C63C699" wp14:editId="2AC6BF2A">
                  <wp:extent cx="1540620" cy="964692"/>
                  <wp:effectExtent l="0" t="0" r="2540" b="698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lly Marianne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069" cy="98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D7701E" w14:textId="77777777" w:rsidR="00BC0272" w:rsidRDefault="00BC0272" w:rsidP="00BC0272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60F503A4" w14:textId="77777777" w:rsidR="00BC0272" w:rsidRPr="007250FD" w:rsidRDefault="00BC0272" w:rsidP="00BC0272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BC0272" w:rsidRPr="00AB0CB4" w14:paraId="4A4B46E8" w14:textId="77777777" w:rsidTr="005F6B96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32999521" w14:textId="77777777" w:rsidR="00BC0272" w:rsidRPr="007250FD" w:rsidRDefault="00BC0272" w:rsidP="005F6B9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48FAD1B4" w14:textId="77777777" w:rsidR="00BC0272" w:rsidRPr="007250FD" w:rsidRDefault="00BC0272" w:rsidP="005F6B9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594BC181" w14:textId="77777777" w:rsidR="00BC0272" w:rsidRPr="007250FD" w:rsidRDefault="00BC0272" w:rsidP="005F6B9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BC0272" w:rsidRPr="00AB0CB4" w14:paraId="1B8CB10A" w14:textId="77777777" w:rsidTr="005F6B9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44EC1257" w14:textId="77777777" w:rsidR="00BC0272" w:rsidRPr="008505FB" w:rsidRDefault="00BC0272" w:rsidP="005F6B96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14:paraId="2F886833" w14:textId="77777777" w:rsidR="00BC0272" w:rsidRPr="00065B5C" w:rsidRDefault="00BC0272" w:rsidP="005F6B96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Ajustes conforme gestão de documentos (2 anos)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124924" w14:textId="092E1760" w:rsidR="00BC0272" w:rsidRPr="00065B5C" w:rsidRDefault="00BC0272" w:rsidP="005F6B96">
            <w:pPr>
              <w:rPr>
                <w:rFonts w:cstheme="minorHAnsi"/>
              </w:rPr>
            </w:pPr>
            <w:r>
              <w:rPr>
                <w:rFonts w:cstheme="minorHAnsi"/>
              </w:rPr>
              <w:t>17/04/2024</w:t>
            </w:r>
          </w:p>
        </w:tc>
      </w:tr>
      <w:tr w:rsidR="00BC0272" w:rsidRPr="00AB0CB4" w14:paraId="35A2AD70" w14:textId="77777777" w:rsidTr="005F6B9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7F7080A1" w14:textId="77777777" w:rsidR="00BC0272" w:rsidRPr="008505FB" w:rsidRDefault="00BC0272" w:rsidP="005F6B96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14:paraId="1A03A2F1" w14:textId="77777777" w:rsidR="00BC0272" w:rsidRPr="00065B5C" w:rsidRDefault="00BC0272" w:rsidP="005F6B96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8EB42C" w14:textId="77777777" w:rsidR="00BC0272" w:rsidRPr="00065B5C" w:rsidRDefault="00BC0272" w:rsidP="005F6B96">
            <w:pPr>
              <w:rPr>
                <w:rFonts w:cstheme="minorHAnsi"/>
                <w:szCs w:val="20"/>
              </w:rPr>
            </w:pPr>
          </w:p>
        </w:tc>
      </w:tr>
    </w:tbl>
    <w:p w14:paraId="3CE47708" w14:textId="77777777" w:rsidR="00BC0272" w:rsidRDefault="00BC0272" w:rsidP="00BC0272">
      <w:pPr>
        <w:pStyle w:val="Rodap"/>
        <w:rPr>
          <w:sz w:val="24"/>
          <w:szCs w:val="24"/>
        </w:rPr>
      </w:pPr>
    </w:p>
    <w:p w14:paraId="2A1D4759" w14:textId="77777777" w:rsidR="00BC0272" w:rsidRPr="00BC0272" w:rsidRDefault="00BC0272" w:rsidP="00223EF6">
      <w:pPr>
        <w:pStyle w:val="PargrafodaLista"/>
        <w:jc w:val="both"/>
        <w:rPr>
          <w:rFonts w:asciiTheme="minorHAnsi" w:hAnsiTheme="minorHAnsi" w:cstheme="minorHAnsi"/>
          <w:sz w:val="20"/>
          <w:szCs w:val="20"/>
        </w:rPr>
      </w:pPr>
    </w:p>
    <w:sectPr w:rsidR="00BC0272" w:rsidRPr="00BC0272" w:rsidSect="00D22C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EDD86" w14:textId="77777777" w:rsidR="00D92043" w:rsidRDefault="00D92043" w:rsidP="00090248">
      <w:pPr>
        <w:spacing w:after="0" w:line="240" w:lineRule="auto"/>
      </w:pPr>
      <w:r>
        <w:separator/>
      </w:r>
    </w:p>
  </w:endnote>
  <w:endnote w:type="continuationSeparator" w:id="0">
    <w:p w14:paraId="38C6EFDE" w14:textId="77777777" w:rsidR="00D92043" w:rsidRDefault="00D92043" w:rsidP="000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34DF8" w14:textId="77777777" w:rsidR="00283DF2" w:rsidRDefault="00283D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8DD24" w14:textId="77777777" w:rsidR="00E116E6" w:rsidRDefault="00E116E6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099A6" w14:textId="77777777" w:rsidR="00283DF2" w:rsidRDefault="00283D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4CD66" w14:textId="77777777" w:rsidR="00D92043" w:rsidRDefault="00D92043" w:rsidP="00090248">
      <w:pPr>
        <w:spacing w:after="0" w:line="240" w:lineRule="auto"/>
      </w:pPr>
      <w:r>
        <w:separator/>
      </w:r>
    </w:p>
  </w:footnote>
  <w:footnote w:type="continuationSeparator" w:id="0">
    <w:p w14:paraId="2A0D52C5" w14:textId="77777777" w:rsidR="00D92043" w:rsidRDefault="00D92043" w:rsidP="0009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6B0F8" w14:textId="77777777" w:rsidR="00283DF2" w:rsidRDefault="00283D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1"/>
      <w:gridCol w:w="4281"/>
      <w:gridCol w:w="2298"/>
      <w:gridCol w:w="1277"/>
    </w:tblGrid>
    <w:tr w:rsidR="00E116E6" w:rsidRPr="003A52FB" w14:paraId="5EB3F8B5" w14:textId="77777777" w:rsidTr="00E116E6">
      <w:trPr>
        <w:trHeight w:val="97"/>
      </w:trPr>
      <w:tc>
        <w:tcPr>
          <w:tcW w:w="1211" w:type="dxa"/>
          <w:vMerge w:val="restart"/>
        </w:tcPr>
        <w:p w14:paraId="39F9D1F3" w14:textId="5C88D1B2" w:rsidR="00E116E6" w:rsidRPr="003A52FB" w:rsidRDefault="00BC0272" w:rsidP="009E6668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48CA8335" wp14:editId="45808794">
                <wp:simplePos x="0" y="0"/>
                <wp:positionH relativeFrom="column">
                  <wp:posOffset>-137160</wp:posOffset>
                </wp:positionH>
                <wp:positionV relativeFrom="paragraph">
                  <wp:posOffset>-34925</wp:posOffset>
                </wp:positionV>
                <wp:extent cx="952500" cy="95250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1" w:type="dxa"/>
          <w:vMerge w:val="restart"/>
          <w:shd w:val="clear" w:color="auto" w:fill="D9D9D9"/>
        </w:tcPr>
        <w:p w14:paraId="3FF839CF" w14:textId="5C277AFA" w:rsidR="00E116E6" w:rsidRPr="00FC13DE" w:rsidRDefault="00E116E6" w:rsidP="009E6668">
          <w:pPr>
            <w:pStyle w:val="Cabealho"/>
            <w:spacing w:before="240" w:after="12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 xml:space="preserve">PROTOCOLO </w:t>
          </w:r>
          <w:r w:rsidRPr="00FC13DE">
            <w:rPr>
              <w:rFonts w:asciiTheme="minorHAnsi" w:hAnsiTheme="minorHAnsi" w:cs="Arial"/>
              <w:b/>
              <w:sz w:val="24"/>
              <w:szCs w:val="24"/>
            </w:rPr>
            <w:t xml:space="preserve"> </w:t>
          </w:r>
        </w:p>
      </w:tc>
      <w:tc>
        <w:tcPr>
          <w:tcW w:w="2298" w:type="dxa"/>
          <w:shd w:val="clear" w:color="auto" w:fill="D9D9D9"/>
        </w:tcPr>
        <w:p w14:paraId="30CE8E92" w14:textId="77777777" w:rsidR="00E116E6" w:rsidRPr="0099390C" w:rsidRDefault="00E116E6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99390C">
            <w:rPr>
              <w:rFonts w:asciiTheme="minorHAnsi" w:hAnsiTheme="minorHAnsi"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277" w:type="dxa"/>
          <w:shd w:val="clear" w:color="auto" w:fill="D9D9D9"/>
          <w:vAlign w:val="center"/>
        </w:tcPr>
        <w:sdt>
          <w:sdtPr>
            <w:rPr>
              <w:rFonts w:asciiTheme="minorHAnsi" w:hAnsiTheme="minorHAnsi"/>
              <w:sz w:val="18"/>
              <w:szCs w:val="18"/>
            </w:rPr>
            <w:id w:val="-561167097"/>
            <w:docPartObj>
              <w:docPartGallery w:val="Page Numbers (Top of Page)"/>
              <w:docPartUnique/>
            </w:docPartObj>
          </w:sdtPr>
          <w:sdtEndPr/>
          <w:sdtContent>
            <w:p w14:paraId="7F403EBE" w14:textId="77777777" w:rsidR="00E116E6" w:rsidRPr="0099390C" w:rsidRDefault="00E116E6" w:rsidP="009E6668">
              <w:pPr>
                <w:pStyle w:val="Cabealho"/>
                <w:jc w:val="center"/>
                <w:rPr>
                  <w:rFonts w:asciiTheme="minorHAnsi" w:hAnsiTheme="minorHAnsi" w:cs="Arial"/>
                  <w:b/>
                  <w:sz w:val="18"/>
                  <w:szCs w:val="18"/>
                </w:rPr>
              </w:pPr>
              <w:r>
                <w:rPr>
                  <w:rFonts w:asciiTheme="minorHAnsi" w:hAnsiTheme="minorHAnsi"/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E116E6" w:rsidRPr="003A52FB" w14:paraId="521918D7" w14:textId="77777777" w:rsidTr="00E116E6">
      <w:trPr>
        <w:trHeight w:val="183"/>
      </w:trPr>
      <w:tc>
        <w:tcPr>
          <w:tcW w:w="1211" w:type="dxa"/>
          <w:vMerge/>
        </w:tcPr>
        <w:p w14:paraId="395910FF" w14:textId="77777777" w:rsidR="00E116E6" w:rsidRPr="003A52FB" w:rsidRDefault="00E116E6" w:rsidP="009E6668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281" w:type="dxa"/>
          <w:vMerge/>
          <w:shd w:val="clear" w:color="auto" w:fill="D9D9D9"/>
        </w:tcPr>
        <w:p w14:paraId="28EDC6ED" w14:textId="77777777" w:rsidR="00E116E6" w:rsidRPr="00FC13DE" w:rsidRDefault="00E116E6" w:rsidP="009E6668">
          <w:pPr>
            <w:pStyle w:val="Cabealho"/>
            <w:spacing w:before="120" w:after="120"/>
            <w:jc w:val="center"/>
            <w:rPr>
              <w:rFonts w:cs="Arial"/>
              <w:sz w:val="24"/>
            </w:rPr>
          </w:pPr>
        </w:p>
      </w:tc>
      <w:tc>
        <w:tcPr>
          <w:tcW w:w="2298" w:type="dxa"/>
        </w:tcPr>
        <w:p w14:paraId="44F54618" w14:textId="581E0F14" w:rsidR="00E116E6" w:rsidRPr="001050F1" w:rsidRDefault="00BE332C" w:rsidP="009E6668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PROT.DT</w:t>
          </w:r>
          <w:r w:rsidR="00E116E6">
            <w:rPr>
              <w:rFonts w:cs="Arial"/>
            </w:rPr>
            <w:t>.</w:t>
          </w:r>
          <w:r w:rsidR="00F84613">
            <w:rPr>
              <w:rFonts w:cs="Arial"/>
            </w:rPr>
            <w:t>049</w:t>
          </w:r>
        </w:p>
      </w:tc>
      <w:tc>
        <w:tcPr>
          <w:tcW w:w="1277" w:type="dxa"/>
        </w:tcPr>
        <w:p w14:paraId="108ED1F3" w14:textId="796E3CA3" w:rsidR="00E116E6" w:rsidRPr="0099390C" w:rsidRDefault="00E116E6" w:rsidP="009E6668">
          <w:pPr>
            <w:pStyle w:val="Cabealho"/>
            <w:jc w:val="center"/>
          </w:pP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PAGE</w:instrText>
          </w:r>
          <w:r w:rsidRPr="0099390C">
            <w:rPr>
              <w:bCs/>
            </w:rPr>
            <w:fldChar w:fldCharType="separate"/>
          </w:r>
          <w:r w:rsidR="00283DF2">
            <w:rPr>
              <w:bCs/>
              <w:noProof/>
            </w:rPr>
            <w:t>7</w:t>
          </w:r>
          <w:r w:rsidRPr="0099390C">
            <w:rPr>
              <w:bCs/>
            </w:rPr>
            <w:fldChar w:fldCharType="end"/>
          </w:r>
          <w:r w:rsidRPr="0099390C">
            <w:t xml:space="preserve"> / </w:t>
          </w: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NUMPAGES</w:instrText>
          </w:r>
          <w:r w:rsidRPr="0099390C">
            <w:rPr>
              <w:bCs/>
            </w:rPr>
            <w:fldChar w:fldCharType="separate"/>
          </w:r>
          <w:r w:rsidR="00283DF2">
            <w:rPr>
              <w:bCs/>
              <w:noProof/>
            </w:rPr>
            <w:t>7</w:t>
          </w:r>
          <w:r w:rsidRPr="0099390C">
            <w:rPr>
              <w:bCs/>
            </w:rPr>
            <w:fldChar w:fldCharType="end"/>
          </w:r>
        </w:p>
      </w:tc>
    </w:tr>
    <w:tr w:rsidR="00E116E6" w:rsidRPr="003A52FB" w14:paraId="3DB7C817" w14:textId="77777777" w:rsidTr="00E116E6">
      <w:trPr>
        <w:trHeight w:val="123"/>
      </w:trPr>
      <w:tc>
        <w:tcPr>
          <w:tcW w:w="1211" w:type="dxa"/>
          <w:vMerge/>
        </w:tcPr>
        <w:p w14:paraId="27DAC779" w14:textId="77777777" w:rsidR="00E116E6" w:rsidRPr="003A52FB" w:rsidRDefault="00E116E6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 w:val="restart"/>
          <w:vAlign w:val="center"/>
        </w:tcPr>
        <w:p w14:paraId="0F233EDB" w14:textId="32C03D90" w:rsidR="00E116E6" w:rsidRPr="00861BB2" w:rsidRDefault="00FC5E94" w:rsidP="00FC5E94">
          <w:pPr>
            <w:spacing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CITOMEGALOVÍRUS CONGÊNITO </w:t>
          </w:r>
        </w:p>
      </w:tc>
      <w:tc>
        <w:tcPr>
          <w:tcW w:w="2298" w:type="dxa"/>
          <w:shd w:val="clear" w:color="auto" w:fill="D9D9D9"/>
        </w:tcPr>
        <w:p w14:paraId="562F1F7D" w14:textId="77777777" w:rsidR="00E116E6" w:rsidRPr="0099390C" w:rsidRDefault="00E116E6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Especialidade</w:t>
          </w:r>
        </w:p>
      </w:tc>
      <w:tc>
        <w:tcPr>
          <w:tcW w:w="1277" w:type="dxa"/>
          <w:shd w:val="clear" w:color="auto" w:fill="D9D9D9"/>
        </w:tcPr>
        <w:p w14:paraId="68D7E6A2" w14:textId="77777777" w:rsidR="00E116E6" w:rsidRPr="0099390C" w:rsidRDefault="00E116E6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Revisão</w:t>
          </w:r>
        </w:p>
      </w:tc>
    </w:tr>
    <w:tr w:rsidR="00E116E6" w:rsidRPr="003A52FB" w14:paraId="716B4426" w14:textId="77777777" w:rsidTr="00E116E6">
      <w:trPr>
        <w:trHeight w:val="239"/>
      </w:trPr>
      <w:tc>
        <w:tcPr>
          <w:tcW w:w="1211" w:type="dxa"/>
          <w:vMerge/>
        </w:tcPr>
        <w:p w14:paraId="4E840221" w14:textId="77777777" w:rsidR="00E116E6" w:rsidRPr="003A52FB" w:rsidRDefault="00E116E6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/>
        </w:tcPr>
        <w:p w14:paraId="39529BC8" w14:textId="77777777" w:rsidR="00E116E6" w:rsidRPr="003A52FB" w:rsidRDefault="00E116E6" w:rsidP="009E6668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2298" w:type="dxa"/>
          <w:vAlign w:val="center"/>
        </w:tcPr>
        <w:p w14:paraId="312F21CC" w14:textId="175275E0" w:rsidR="00E116E6" w:rsidRPr="00DD7D40" w:rsidRDefault="00E116E6" w:rsidP="009E6668">
          <w:pPr>
            <w:pStyle w:val="Cabealho"/>
            <w:spacing w:before="60" w:after="60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Obstetrícia e Neonatologia</w:t>
          </w:r>
        </w:p>
      </w:tc>
      <w:tc>
        <w:tcPr>
          <w:tcW w:w="1277" w:type="dxa"/>
          <w:vAlign w:val="center"/>
        </w:tcPr>
        <w:p w14:paraId="7830564A" w14:textId="3DF1CC86" w:rsidR="00E116E6" w:rsidRPr="0099390C" w:rsidRDefault="00BC0272" w:rsidP="00F84613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1</w:t>
          </w:r>
        </w:p>
      </w:tc>
    </w:tr>
  </w:tbl>
  <w:p w14:paraId="3B225BF8" w14:textId="77777777" w:rsidR="00E116E6" w:rsidRDefault="00E116E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C5E16" w14:textId="77777777" w:rsidR="00283DF2" w:rsidRDefault="00283D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1EE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0876"/>
    <w:multiLevelType w:val="hybridMultilevel"/>
    <w:tmpl w:val="F0CED642"/>
    <w:lvl w:ilvl="0" w:tplc="37D2E0A8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77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B46B0"/>
    <w:multiLevelType w:val="hybridMultilevel"/>
    <w:tmpl w:val="6FE64A2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4199"/>
    <w:multiLevelType w:val="hybridMultilevel"/>
    <w:tmpl w:val="8F0C45E6"/>
    <w:lvl w:ilvl="0" w:tplc="678611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C785B"/>
    <w:multiLevelType w:val="hybridMultilevel"/>
    <w:tmpl w:val="18B6545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9098E"/>
    <w:multiLevelType w:val="hybridMultilevel"/>
    <w:tmpl w:val="FE0E14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C42A4"/>
    <w:multiLevelType w:val="hybridMultilevel"/>
    <w:tmpl w:val="B0A08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22DC1"/>
    <w:multiLevelType w:val="hybridMultilevel"/>
    <w:tmpl w:val="D696B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2445"/>
    <w:multiLevelType w:val="hybridMultilevel"/>
    <w:tmpl w:val="2914435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65F5C"/>
    <w:multiLevelType w:val="hybridMultilevel"/>
    <w:tmpl w:val="90C2EC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FBE07616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A684C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23BA0"/>
    <w:multiLevelType w:val="hybridMultilevel"/>
    <w:tmpl w:val="D812E3FA"/>
    <w:lvl w:ilvl="0" w:tplc="04160013">
      <w:start w:val="1"/>
      <w:numFmt w:val="upperRoman"/>
      <w:lvlText w:val="%1."/>
      <w:lvlJc w:val="right"/>
      <w:pPr>
        <w:ind w:left="1168" w:hanging="360"/>
      </w:pPr>
    </w:lvl>
    <w:lvl w:ilvl="1" w:tplc="04160019">
      <w:start w:val="1"/>
      <w:numFmt w:val="lowerLetter"/>
      <w:lvlText w:val="%2."/>
      <w:lvlJc w:val="left"/>
      <w:pPr>
        <w:ind w:left="1888" w:hanging="360"/>
      </w:pPr>
    </w:lvl>
    <w:lvl w:ilvl="2" w:tplc="0416001B" w:tentative="1">
      <w:start w:val="1"/>
      <w:numFmt w:val="lowerRoman"/>
      <w:lvlText w:val="%3."/>
      <w:lvlJc w:val="right"/>
      <w:pPr>
        <w:ind w:left="2608" w:hanging="180"/>
      </w:pPr>
    </w:lvl>
    <w:lvl w:ilvl="3" w:tplc="0416000F" w:tentative="1">
      <w:start w:val="1"/>
      <w:numFmt w:val="decimal"/>
      <w:lvlText w:val="%4."/>
      <w:lvlJc w:val="left"/>
      <w:pPr>
        <w:ind w:left="3328" w:hanging="360"/>
      </w:pPr>
    </w:lvl>
    <w:lvl w:ilvl="4" w:tplc="04160019" w:tentative="1">
      <w:start w:val="1"/>
      <w:numFmt w:val="lowerLetter"/>
      <w:lvlText w:val="%5."/>
      <w:lvlJc w:val="left"/>
      <w:pPr>
        <w:ind w:left="4048" w:hanging="360"/>
      </w:pPr>
    </w:lvl>
    <w:lvl w:ilvl="5" w:tplc="0416001B" w:tentative="1">
      <w:start w:val="1"/>
      <w:numFmt w:val="lowerRoman"/>
      <w:lvlText w:val="%6."/>
      <w:lvlJc w:val="right"/>
      <w:pPr>
        <w:ind w:left="4768" w:hanging="180"/>
      </w:pPr>
    </w:lvl>
    <w:lvl w:ilvl="6" w:tplc="0416000F" w:tentative="1">
      <w:start w:val="1"/>
      <w:numFmt w:val="decimal"/>
      <w:lvlText w:val="%7."/>
      <w:lvlJc w:val="left"/>
      <w:pPr>
        <w:ind w:left="5488" w:hanging="360"/>
      </w:pPr>
    </w:lvl>
    <w:lvl w:ilvl="7" w:tplc="04160019" w:tentative="1">
      <w:start w:val="1"/>
      <w:numFmt w:val="lowerLetter"/>
      <w:lvlText w:val="%8."/>
      <w:lvlJc w:val="left"/>
      <w:pPr>
        <w:ind w:left="6208" w:hanging="360"/>
      </w:pPr>
    </w:lvl>
    <w:lvl w:ilvl="8" w:tplc="0416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" w15:restartNumberingAfterBreak="0">
    <w:nsid w:val="69A64C8D"/>
    <w:multiLevelType w:val="hybridMultilevel"/>
    <w:tmpl w:val="55F8A31C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D51B3"/>
    <w:multiLevelType w:val="hybridMultilevel"/>
    <w:tmpl w:val="0B82BBD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B32E8"/>
    <w:multiLevelType w:val="hybridMultilevel"/>
    <w:tmpl w:val="90C2EC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FBE07616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B6363"/>
    <w:multiLevelType w:val="hybridMultilevel"/>
    <w:tmpl w:val="724065D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9">
      <w:start w:val="1"/>
      <w:numFmt w:val="lowerLetter"/>
      <w:lvlText w:val="%3."/>
      <w:lvlJc w:val="left"/>
      <w:pPr>
        <w:ind w:left="720" w:hanging="36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5"/>
  </w:num>
  <w:num w:numId="10">
    <w:abstractNumId w:val="10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9"/>
  </w:num>
  <w:num w:numId="16">
    <w:abstractNumId w:val="4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8"/>
    <w:rsid w:val="0000688A"/>
    <w:rsid w:val="00022434"/>
    <w:rsid w:val="00022C1E"/>
    <w:rsid w:val="00030FC2"/>
    <w:rsid w:val="0003246B"/>
    <w:rsid w:val="00047921"/>
    <w:rsid w:val="00051091"/>
    <w:rsid w:val="00051954"/>
    <w:rsid w:val="00052E12"/>
    <w:rsid w:val="000607B2"/>
    <w:rsid w:val="00061C83"/>
    <w:rsid w:val="00063FB3"/>
    <w:rsid w:val="00071ABF"/>
    <w:rsid w:val="00072B54"/>
    <w:rsid w:val="00077262"/>
    <w:rsid w:val="000805F9"/>
    <w:rsid w:val="00083C68"/>
    <w:rsid w:val="00090248"/>
    <w:rsid w:val="000930C7"/>
    <w:rsid w:val="0009371D"/>
    <w:rsid w:val="00095E13"/>
    <w:rsid w:val="000C79D7"/>
    <w:rsid w:val="000D2062"/>
    <w:rsid w:val="000E3CE3"/>
    <w:rsid w:val="000E6FF9"/>
    <w:rsid w:val="000F039A"/>
    <w:rsid w:val="000F0F9B"/>
    <w:rsid w:val="000F5A92"/>
    <w:rsid w:val="0010445B"/>
    <w:rsid w:val="001228A1"/>
    <w:rsid w:val="00125FCE"/>
    <w:rsid w:val="00132CBE"/>
    <w:rsid w:val="00143EFA"/>
    <w:rsid w:val="00154CDE"/>
    <w:rsid w:val="00164F61"/>
    <w:rsid w:val="00166C8A"/>
    <w:rsid w:val="00170D1C"/>
    <w:rsid w:val="00172F84"/>
    <w:rsid w:val="00177998"/>
    <w:rsid w:val="001811FB"/>
    <w:rsid w:val="00182374"/>
    <w:rsid w:val="00190CF7"/>
    <w:rsid w:val="001912F7"/>
    <w:rsid w:val="00193012"/>
    <w:rsid w:val="00194D39"/>
    <w:rsid w:val="0019616A"/>
    <w:rsid w:val="001A25B5"/>
    <w:rsid w:val="001A2D21"/>
    <w:rsid w:val="001A5681"/>
    <w:rsid w:val="001B169F"/>
    <w:rsid w:val="001B43CF"/>
    <w:rsid w:val="001B4D68"/>
    <w:rsid w:val="001C1781"/>
    <w:rsid w:val="001C2807"/>
    <w:rsid w:val="001D0925"/>
    <w:rsid w:val="001D3F65"/>
    <w:rsid w:val="001E094B"/>
    <w:rsid w:val="001F0D40"/>
    <w:rsid w:val="001F2028"/>
    <w:rsid w:val="001F605E"/>
    <w:rsid w:val="00211184"/>
    <w:rsid w:val="00223EF6"/>
    <w:rsid w:val="00236238"/>
    <w:rsid w:val="002365D3"/>
    <w:rsid w:val="002404EA"/>
    <w:rsid w:val="00242B0A"/>
    <w:rsid w:val="00247B3E"/>
    <w:rsid w:val="002556DF"/>
    <w:rsid w:val="00255DFC"/>
    <w:rsid w:val="00257073"/>
    <w:rsid w:val="00257519"/>
    <w:rsid w:val="00261DD9"/>
    <w:rsid w:val="002623B8"/>
    <w:rsid w:val="00267ED2"/>
    <w:rsid w:val="002763C6"/>
    <w:rsid w:val="0028327E"/>
    <w:rsid w:val="002835D0"/>
    <w:rsid w:val="00283D30"/>
    <w:rsid w:val="00283DF2"/>
    <w:rsid w:val="00284CEE"/>
    <w:rsid w:val="00294404"/>
    <w:rsid w:val="0029641E"/>
    <w:rsid w:val="002A0744"/>
    <w:rsid w:val="002A3568"/>
    <w:rsid w:val="002A3A33"/>
    <w:rsid w:val="002A42AC"/>
    <w:rsid w:val="002B605B"/>
    <w:rsid w:val="002C2D40"/>
    <w:rsid w:val="002C3670"/>
    <w:rsid w:val="002C5B31"/>
    <w:rsid w:val="002D2A96"/>
    <w:rsid w:val="002D3099"/>
    <w:rsid w:val="002F1CC4"/>
    <w:rsid w:val="002F5D79"/>
    <w:rsid w:val="00301C1F"/>
    <w:rsid w:val="003055B6"/>
    <w:rsid w:val="00306839"/>
    <w:rsid w:val="00307B46"/>
    <w:rsid w:val="00315E3D"/>
    <w:rsid w:val="00317B48"/>
    <w:rsid w:val="00317BE4"/>
    <w:rsid w:val="0032080D"/>
    <w:rsid w:val="00322604"/>
    <w:rsid w:val="003227C1"/>
    <w:rsid w:val="00325192"/>
    <w:rsid w:val="00331071"/>
    <w:rsid w:val="00331B4C"/>
    <w:rsid w:val="003447C7"/>
    <w:rsid w:val="00354EA1"/>
    <w:rsid w:val="00356753"/>
    <w:rsid w:val="00360AB9"/>
    <w:rsid w:val="00361C67"/>
    <w:rsid w:val="003663EE"/>
    <w:rsid w:val="003717F1"/>
    <w:rsid w:val="00371E02"/>
    <w:rsid w:val="003741C4"/>
    <w:rsid w:val="00382F17"/>
    <w:rsid w:val="00383D00"/>
    <w:rsid w:val="003A454E"/>
    <w:rsid w:val="003C37FE"/>
    <w:rsid w:val="003D2456"/>
    <w:rsid w:val="003D4D6A"/>
    <w:rsid w:val="003D6307"/>
    <w:rsid w:val="003F3928"/>
    <w:rsid w:val="003F5EC7"/>
    <w:rsid w:val="004008EF"/>
    <w:rsid w:val="004129C1"/>
    <w:rsid w:val="00420693"/>
    <w:rsid w:val="00427028"/>
    <w:rsid w:val="00431B1E"/>
    <w:rsid w:val="004402E2"/>
    <w:rsid w:val="00442A5F"/>
    <w:rsid w:val="00443988"/>
    <w:rsid w:val="0045535D"/>
    <w:rsid w:val="00461DB4"/>
    <w:rsid w:val="00466F81"/>
    <w:rsid w:val="00472E47"/>
    <w:rsid w:val="00472EC2"/>
    <w:rsid w:val="00473CC6"/>
    <w:rsid w:val="0047405C"/>
    <w:rsid w:val="00483C61"/>
    <w:rsid w:val="00490364"/>
    <w:rsid w:val="004903B9"/>
    <w:rsid w:val="00493387"/>
    <w:rsid w:val="004A07FF"/>
    <w:rsid w:val="004A29B5"/>
    <w:rsid w:val="004A7DEF"/>
    <w:rsid w:val="004B0733"/>
    <w:rsid w:val="004B5B62"/>
    <w:rsid w:val="004B74B7"/>
    <w:rsid w:val="004C1802"/>
    <w:rsid w:val="004C36A0"/>
    <w:rsid w:val="004C5005"/>
    <w:rsid w:val="004C643F"/>
    <w:rsid w:val="004E0F09"/>
    <w:rsid w:val="004E4E2D"/>
    <w:rsid w:val="00506B98"/>
    <w:rsid w:val="00512C11"/>
    <w:rsid w:val="00517B16"/>
    <w:rsid w:val="00526E1E"/>
    <w:rsid w:val="00536976"/>
    <w:rsid w:val="00552026"/>
    <w:rsid w:val="00554880"/>
    <w:rsid w:val="00555382"/>
    <w:rsid w:val="005609C6"/>
    <w:rsid w:val="00567B46"/>
    <w:rsid w:val="0057086C"/>
    <w:rsid w:val="005711AA"/>
    <w:rsid w:val="005818DE"/>
    <w:rsid w:val="0058282A"/>
    <w:rsid w:val="005833D9"/>
    <w:rsid w:val="00587065"/>
    <w:rsid w:val="005873E6"/>
    <w:rsid w:val="00592343"/>
    <w:rsid w:val="005969B3"/>
    <w:rsid w:val="00596E57"/>
    <w:rsid w:val="005A5A9F"/>
    <w:rsid w:val="005A7969"/>
    <w:rsid w:val="005B0281"/>
    <w:rsid w:val="005D0AA8"/>
    <w:rsid w:val="005F096C"/>
    <w:rsid w:val="005F1047"/>
    <w:rsid w:val="005F2146"/>
    <w:rsid w:val="005F4413"/>
    <w:rsid w:val="005F4EB6"/>
    <w:rsid w:val="00601058"/>
    <w:rsid w:val="00603A42"/>
    <w:rsid w:val="00614424"/>
    <w:rsid w:val="00614589"/>
    <w:rsid w:val="00614D0E"/>
    <w:rsid w:val="00615410"/>
    <w:rsid w:val="00621913"/>
    <w:rsid w:val="00633ECF"/>
    <w:rsid w:val="00635F4C"/>
    <w:rsid w:val="0064768C"/>
    <w:rsid w:val="0066299E"/>
    <w:rsid w:val="006638FF"/>
    <w:rsid w:val="00671FEC"/>
    <w:rsid w:val="006735CF"/>
    <w:rsid w:val="00681D6A"/>
    <w:rsid w:val="006A0CED"/>
    <w:rsid w:val="006A1BDE"/>
    <w:rsid w:val="006A2718"/>
    <w:rsid w:val="006B36D8"/>
    <w:rsid w:val="006B5EDA"/>
    <w:rsid w:val="006C06D1"/>
    <w:rsid w:val="006C0967"/>
    <w:rsid w:val="006C0C4E"/>
    <w:rsid w:val="006C126F"/>
    <w:rsid w:val="006C33F7"/>
    <w:rsid w:val="006D14FB"/>
    <w:rsid w:val="006D586D"/>
    <w:rsid w:val="006D7661"/>
    <w:rsid w:val="006F172C"/>
    <w:rsid w:val="00716B69"/>
    <w:rsid w:val="00724191"/>
    <w:rsid w:val="00724B59"/>
    <w:rsid w:val="00727C21"/>
    <w:rsid w:val="0073321F"/>
    <w:rsid w:val="00734DF9"/>
    <w:rsid w:val="007355AE"/>
    <w:rsid w:val="00735DA6"/>
    <w:rsid w:val="00744BED"/>
    <w:rsid w:val="00747422"/>
    <w:rsid w:val="00752652"/>
    <w:rsid w:val="0075357A"/>
    <w:rsid w:val="0076052B"/>
    <w:rsid w:val="00775663"/>
    <w:rsid w:val="00776E98"/>
    <w:rsid w:val="007771AB"/>
    <w:rsid w:val="00777AE7"/>
    <w:rsid w:val="00777CFB"/>
    <w:rsid w:val="007856AC"/>
    <w:rsid w:val="0078671F"/>
    <w:rsid w:val="0079047A"/>
    <w:rsid w:val="00794150"/>
    <w:rsid w:val="00795ED0"/>
    <w:rsid w:val="007A62EC"/>
    <w:rsid w:val="007A66E2"/>
    <w:rsid w:val="007A6B1A"/>
    <w:rsid w:val="007A7669"/>
    <w:rsid w:val="007B5440"/>
    <w:rsid w:val="007C006A"/>
    <w:rsid w:val="007C5990"/>
    <w:rsid w:val="007D1B8B"/>
    <w:rsid w:val="007D578D"/>
    <w:rsid w:val="007D7BB4"/>
    <w:rsid w:val="007E11EC"/>
    <w:rsid w:val="007E22EA"/>
    <w:rsid w:val="007E3DD3"/>
    <w:rsid w:val="007E5EB9"/>
    <w:rsid w:val="007E7F7C"/>
    <w:rsid w:val="007F5362"/>
    <w:rsid w:val="007F63A9"/>
    <w:rsid w:val="007F6DC2"/>
    <w:rsid w:val="00802EE1"/>
    <w:rsid w:val="008059CE"/>
    <w:rsid w:val="00806A13"/>
    <w:rsid w:val="0081084A"/>
    <w:rsid w:val="008238DD"/>
    <w:rsid w:val="008241B8"/>
    <w:rsid w:val="00835828"/>
    <w:rsid w:val="00837644"/>
    <w:rsid w:val="0084104F"/>
    <w:rsid w:val="008512FA"/>
    <w:rsid w:val="00861BB2"/>
    <w:rsid w:val="0086255A"/>
    <w:rsid w:val="00863E15"/>
    <w:rsid w:val="00867FE9"/>
    <w:rsid w:val="00875D99"/>
    <w:rsid w:val="0087669B"/>
    <w:rsid w:val="0088246F"/>
    <w:rsid w:val="0088561E"/>
    <w:rsid w:val="0088599E"/>
    <w:rsid w:val="0089208A"/>
    <w:rsid w:val="008A1356"/>
    <w:rsid w:val="008A69EC"/>
    <w:rsid w:val="008B0AAF"/>
    <w:rsid w:val="008B5265"/>
    <w:rsid w:val="008B70F8"/>
    <w:rsid w:val="008C2CC2"/>
    <w:rsid w:val="008C306B"/>
    <w:rsid w:val="008C70A7"/>
    <w:rsid w:val="008D280B"/>
    <w:rsid w:val="008D413B"/>
    <w:rsid w:val="008E2D47"/>
    <w:rsid w:val="008F36F2"/>
    <w:rsid w:val="008F41E0"/>
    <w:rsid w:val="008F4BF3"/>
    <w:rsid w:val="00911218"/>
    <w:rsid w:val="00912EF1"/>
    <w:rsid w:val="00916DB5"/>
    <w:rsid w:val="009204A0"/>
    <w:rsid w:val="009211BB"/>
    <w:rsid w:val="009335A7"/>
    <w:rsid w:val="00942715"/>
    <w:rsid w:val="00944A1C"/>
    <w:rsid w:val="009517D9"/>
    <w:rsid w:val="009620F1"/>
    <w:rsid w:val="00964767"/>
    <w:rsid w:val="00964F07"/>
    <w:rsid w:val="009653B7"/>
    <w:rsid w:val="00966DD2"/>
    <w:rsid w:val="0096746B"/>
    <w:rsid w:val="00972699"/>
    <w:rsid w:val="00980AA9"/>
    <w:rsid w:val="0099160C"/>
    <w:rsid w:val="00992AD5"/>
    <w:rsid w:val="00994226"/>
    <w:rsid w:val="009A21E7"/>
    <w:rsid w:val="009A7B66"/>
    <w:rsid w:val="009B237C"/>
    <w:rsid w:val="009B555C"/>
    <w:rsid w:val="009C05D0"/>
    <w:rsid w:val="009C3B6D"/>
    <w:rsid w:val="009C4BF9"/>
    <w:rsid w:val="009C6033"/>
    <w:rsid w:val="009D278B"/>
    <w:rsid w:val="009D7C8C"/>
    <w:rsid w:val="009E6668"/>
    <w:rsid w:val="009F61BF"/>
    <w:rsid w:val="009F7176"/>
    <w:rsid w:val="00A06D4C"/>
    <w:rsid w:val="00A2106A"/>
    <w:rsid w:val="00A26D09"/>
    <w:rsid w:val="00A30820"/>
    <w:rsid w:val="00A36900"/>
    <w:rsid w:val="00A370EC"/>
    <w:rsid w:val="00A411F6"/>
    <w:rsid w:val="00A43AF5"/>
    <w:rsid w:val="00A503D0"/>
    <w:rsid w:val="00A511BF"/>
    <w:rsid w:val="00A530B3"/>
    <w:rsid w:val="00A631DC"/>
    <w:rsid w:val="00A63F98"/>
    <w:rsid w:val="00A64547"/>
    <w:rsid w:val="00A6665A"/>
    <w:rsid w:val="00A73365"/>
    <w:rsid w:val="00A77B66"/>
    <w:rsid w:val="00A851E1"/>
    <w:rsid w:val="00A92CFE"/>
    <w:rsid w:val="00AA35F6"/>
    <w:rsid w:val="00AA361A"/>
    <w:rsid w:val="00AA3711"/>
    <w:rsid w:val="00AA47E7"/>
    <w:rsid w:val="00AB0572"/>
    <w:rsid w:val="00AC5593"/>
    <w:rsid w:val="00AD6AEB"/>
    <w:rsid w:val="00AD7342"/>
    <w:rsid w:val="00AE2009"/>
    <w:rsid w:val="00AE5D4D"/>
    <w:rsid w:val="00AF1E09"/>
    <w:rsid w:val="00B00CEF"/>
    <w:rsid w:val="00B00D3F"/>
    <w:rsid w:val="00B058D6"/>
    <w:rsid w:val="00B23A9C"/>
    <w:rsid w:val="00B25B40"/>
    <w:rsid w:val="00B26F5E"/>
    <w:rsid w:val="00B347A4"/>
    <w:rsid w:val="00B43068"/>
    <w:rsid w:val="00B4676C"/>
    <w:rsid w:val="00B54D25"/>
    <w:rsid w:val="00B60440"/>
    <w:rsid w:val="00B60E71"/>
    <w:rsid w:val="00B63AFD"/>
    <w:rsid w:val="00B67E6D"/>
    <w:rsid w:val="00B70F33"/>
    <w:rsid w:val="00B713A6"/>
    <w:rsid w:val="00B717D2"/>
    <w:rsid w:val="00B754EA"/>
    <w:rsid w:val="00B770EB"/>
    <w:rsid w:val="00BA1682"/>
    <w:rsid w:val="00BB03BA"/>
    <w:rsid w:val="00BB44AC"/>
    <w:rsid w:val="00BB5E50"/>
    <w:rsid w:val="00BC0272"/>
    <w:rsid w:val="00BD0512"/>
    <w:rsid w:val="00BD06E6"/>
    <w:rsid w:val="00BD15F4"/>
    <w:rsid w:val="00BD40A5"/>
    <w:rsid w:val="00BD4F36"/>
    <w:rsid w:val="00BE332C"/>
    <w:rsid w:val="00BE3F2F"/>
    <w:rsid w:val="00BF4844"/>
    <w:rsid w:val="00BF7C16"/>
    <w:rsid w:val="00C0102D"/>
    <w:rsid w:val="00C03F30"/>
    <w:rsid w:val="00C0667E"/>
    <w:rsid w:val="00C159BF"/>
    <w:rsid w:val="00C164F7"/>
    <w:rsid w:val="00C22388"/>
    <w:rsid w:val="00C42619"/>
    <w:rsid w:val="00C44822"/>
    <w:rsid w:val="00C50991"/>
    <w:rsid w:val="00C57005"/>
    <w:rsid w:val="00C67BFC"/>
    <w:rsid w:val="00C74A2E"/>
    <w:rsid w:val="00C75A07"/>
    <w:rsid w:val="00C76706"/>
    <w:rsid w:val="00C77902"/>
    <w:rsid w:val="00C8238D"/>
    <w:rsid w:val="00C947ED"/>
    <w:rsid w:val="00C97164"/>
    <w:rsid w:val="00CA151C"/>
    <w:rsid w:val="00CA2466"/>
    <w:rsid w:val="00CE4448"/>
    <w:rsid w:val="00CE695D"/>
    <w:rsid w:val="00CF0D0E"/>
    <w:rsid w:val="00CF7648"/>
    <w:rsid w:val="00D0666A"/>
    <w:rsid w:val="00D072D1"/>
    <w:rsid w:val="00D07F69"/>
    <w:rsid w:val="00D15EB4"/>
    <w:rsid w:val="00D21DA3"/>
    <w:rsid w:val="00D22C6B"/>
    <w:rsid w:val="00D27D81"/>
    <w:rsid w:val="00D37B3A"/>
    <w:rsid w:val="00D40707"/>
    <w:rsid w:val="00D462BB"/>
    <w:rsid w:val="00D52569"/>
    <w:rsid w:val="00D54063"/>
    <w:rsid w:val="00D5426B"/>
    <w:rsid w:val="00D543AD"/>
    <w:rsid w:val="00D71D9B"/>
    <w:rsid w:val="00D771EC"/>
    <w:rsid w:val="00D82D18"/>
    <w:rsid w:val="00D919CF"/>
    <w:rsid w:val="00D92043"/>
    <w:rsid w:val="00D94FFB"/>
    <w:rsid w:val="00D96832"/>
    <w:rsid w:val="00D96C42"/>
    <w:rsid w:val="00D97CE8"/>
    <w:rsid w:val="00DA099E"/>
    <w:rsid w:val="00DB3BB4"/>
    <w:rsid w:val="00DB771E"/>
    <w:rsid w:val="00DC1410"/>
    <w:rsid w:val="00DC548E"/>
    <w:rsid w:val="00DD6CCB"/>
    <w:rsid w:val="00DE1E96"/>
    <w:rsid w:val="00DE4FBD"/>
    <w:rsid w:val="00DF4A49"/>
    <w:rsid w:val="00DF4D6B"/>
    <w:rsid w:val="00E116E6"/>
    <w:rsid w:val="00E1315F"/>
    <w:rsid w:val="00E156FE"/>
    <w:rsid w:val="00E23ACF"/>
    <w:rsid w:val="00E32A22"/>
    <w:rsid w:val="00E3422A"/>
    <w:rsid w:val="00E35235"/>
    <w:rsid w:val="00E465C2"/>
    <w:rsid w:val="00E51687"/>
    <w:rsid w:val="00E533AB"/>
    <w:rsid w:val="00E605F9"/>
    <w:rsid w:val="00E6497E"/>
    <w:rsid w:val="00E6518A"/>
    <w:rsid w:val="00E71745"/>
    <w:rsid w:val="00E77658"/>
    <w:rsid w:val="00EA4CE3"/>
    <w:rsid w:val="00EB1080"/>
    <w:rsid w:val="00EB25BE"/>
    <w:rsid w:val="00ED034B"/>
    <w:rsid w:val="00ED2D25"/>
    <w:rsid w:val="00ED5BC1"/>
    <w:rsid w:val="00EE0FC2"/>
    <w:rsid w:val="00EE34C0"/>
    <w:rsid w:val="00EF0355"/>
    <w:rsid w:val="00F22A7B"/>
    <w:rsid w:val="00F27098"/>
    <w:rsid w:val="00F31951"/>
    <w:rsid w:val="00F42C33"/>
    <w:rsid w:val="00F457CC"/>
    <w:rsid w:val="00F6127B"/>
    <w:rsid w:val="00F74CB4"/>
    <w:rsid w:val="00F80D54"/>
    <w:rsid w:val="00F8134E"/>
    <w:rsid w:val="00F8403C"/>
    <w:rsid w:val="00F84613"/>
    <w:rsid w:val="00F850ED"/>
    <w:rsid w:val="00F93679"/>
    <w:rsid w:val="00FA002E"/>
    <w:rsid w:val="00FA59DC"/>
    <w:rsid w:val="00FB4EA4"/>
    <w:rsid w:val="00FC5E94"/>
    <w:rsid w:val="00FE330A"/>
    <w:rsid w:val="00FF047A"/>
    <w:rsid w:val="00FF1387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C31E1A"/>
  <w15:chartTrackingRefBased/>
  <w15:docId w15:val="{56A41D3E-BA9D-456D-A58D-1AE4D60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48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B46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2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248"/>
    <w:rPr>
      <w:rFonts w:ascii="Calibri" w:eastAsia="Calibri" w:hAnsi="Calibri" w:cs="Times New Roman"/>
    </w:rPr>
  </w:style>
  <w:style w:type="paragraph" w:customStyle="1" w:styleId="Default">
    <w:name w:val="Default"/>
    <w:rsid w:val="005F09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25FC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2A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706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C500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A79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9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96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9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969"/>
    <w:rPr>
      <w:rFonts w:ascii="Calibri" w:eastAsia="Calibri" w:hAnsi="Calibri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10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46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period">
    <w:name w:val="period"/>
    <w:basedOn w:val="Fontepargpadro"/>
    <w:rsid w:val="00B4676C"/>
  </w:style>
  <w:style w:type="character" w:customStyle="1" w:styleId="cit">
    <w:name w:val="cit"/>
    <w:basedOn w:val="Fontepargpadro"/>
    <w:rsid w:val="00B4676C"/>
  </w:style>
  <w:style w:type="character" w:customStyle="1" w:styleId="citation-doi">
    <w:name w:val="citation-doi"/>
    <w:basedOn w:val="Fontepargpadro"/>
    <w:rsid w:val="00B4676C"/>
  </w:style>
  <w:style w:type="character" w:customStyle="1" w:styleId="authors-list-item">
    <w:name w:val="authors-list-item"/>
    <w:basedOn w:val="Fontepargpadro"/>
    <w:rsid w:val="00B4676C"/>
  </w:style>
  <w:style w:type="character" w:customStyle="1" w:styleId="author-sup-separator">
    <w:name w:val="author-sup-separator"/>
    <w:basedOn w:val="Fontepargpadro"/>
    <w:rsid w:val="00B4676C"/>
  </w:style>
  <w:style w:type="character" w:customStyle="1" w:styleId="comma">
    <w:name w:val="comma"/>
    <w:basedOn w:val="Fontepargpadro"/>
    <w:rsid w:val="00B4676C"/>
  </w:style>
  <w:style w:type="paragraph" w:styleId="NormalWeb">
    <w:name w:val="Normal (Web)"/>
    <w:basedOn w:val="Normal"/>
    <w:uiPriority w:val="99"/>
    <w:unhideWhenUsed/>
    <w:rsid w:val="00734D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F7479"/>
  </w:style>
  <w:style w:type="character" w:styleId="nfase">
    <w:name w:val="Emphasis"/>
    <w:basedOn w:val="Fontepargpadro"/>
    <w:uiPriority w:val="20"/>
    <w:qFormat/>
    <w:rsid w:val="00FF7479"/>
    <w:rPr>
      <w:i/>
      <w:iCs/>
    </w:rPr>
  </w:style>
  <w:style w:type="character" w:customStyle="1" w:styleId="nfase1">
    <w:name w:val="Ênfase1"/>
    <w:basedOn w:val="Fontepargpadro"/>
    <w:rsid w:val="00FF7479"/>
  </w:style>
  <w:style w:type="character" w:customStyle="1" w:styleId="pubmed-id">
    <w:name w:val="pubmed-id"/>
    <w:basedOn w:val="Fontepargpadro"/>
    <w:rsid w:val="00FF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3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translate?hl=pt-BR&amp;prev=_t&amp;sl=en&amp;tl=pt&amp;u=https://www.uptodate.com/contents/isotretinoin-pediatric-drug-information%3Fsearch%3Dcmv%2Bnewborn%26topicRef%3D14430%26source%3Dsee_link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todate.com/contents/valganciclovir-drug-information/abstract-text/18279073/pubme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i.org/10.1093/pch/pxx002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edisciplinas.usp.br/pluginfile.php/5878394/mod_folder/content/0/Citomegalovirus%20e-Gravidez.pdf?forcedownload=1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5B31-038A-4C4A-9563-54A5A7C4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3160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Lara Rangel Albuquerque Melo</cp:lastModifiedBy>
  <cp:revision>9</cp:revision>
  <cp:lastPrinted>2020-01-03T11:04:00Z</cp:lastPrinted>
  <dcterms:created xsi:type="dcterms:W3CDTF">2021-06-15T16:24:00Z</dcterms:created>
  <dcterms:modified xsi:type="dcterms:W3CDTF">2024-04-17T12:58:00Z</dcterms:modified>
</cp:coreProperties>
</file>