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40"/>
        <w:gridCol w:w="5421"/>
      </w:tblGrid>
      <w:tr w:rsidR="001B4D68" w14:paraId="3A77DD99" w14:textId="77777777" w:rsidTr="001B4D68">
        <w:tc>
          <w:tcPr>
            <w:tcW w:w="9061" w:type="dxa"/>
            <w:gridSpan w:val="2"/>
            <w:shd w:val="clear" w:color="auto" w:fill="E7E6E6" w:themeFill="background2"/>
          </w:tcPr>
          <w:p w14:paraId="514AB7BE" w14:textId="71773A1A" w:rsidR="001B4D68" w:rsidRPr="001B4D68" w:rsidRDefault="001808A3" w:rsidP="001B4D68">
            <w:pPr>
              <w:spacing w:after="0" w:line="240" w:lineRule="auto"/>
              <w:jc w:val="center"/>
            </w:pPr>
            <w:r>
              <w:t>OBJETIVO</w:t>
            </w:r>
          </w:p>
        </w:tc>
      </w:tr>
      <w:tr w:rsidR="001808A3" w14:paraId="41487ACB" w14:textId="77777777" w:rsidTr="001808A3">
        <w:tc>
          <w:tcPr>
            <w:tcW w:w="9061" w:type="dxa"/>
            <w:gridSpan w:val="2"/>
            <w:shd w:val="clear" w:color="auto" w:fill="auto"/>
          </w:tcPr>
          <w:p w14:paraId="31345FB5" w14:textId="685144CD" w:rsidR="001808A3" w:rsidRDefault="001808A3" w:rsidP="00721F1E">
            <w:pPr>
              <w:spacing w:after="0" w:line="240" w:lineRule="auto"/>
              <w:jc w:val="both"/>
            </w:pPr>
            <w:r>
              <w:t xml:space="preserve">Padronizar </w:t>
            </w:r>
            <w:r w:rsidR="0005405B">
              <w:t xml:space="preserve">as indicações </w:t>
            </w:r>
            <w:r w:rsidR="00721F1E">
              <w:t>de uso da</w:t>
            </w:r>
            <w:r w:rsidR="0005405B">
              <w:t xml:space="preserve"> bomba de infusão contínua </w:t>
            </w:r>
            <w:r w:rsidR="00721F1E">
              <w:t xml:space="preserve">para administração de medicamentos de risco </w:t>
            </w:r>
            <w:r w:rsidR="0005405B">
              <w:t>na CSH</w:t>
            </w:r>
          </w:p>
        </w:tc>
      </w:tr>
      <w:tr w:rsidR="001808A3" w14:paraId="34BCCC01" w14:textId="77777777" w:rsidTr="001B4D68">
        <w:tc>
          <w:tcPr>
            <w:tcW w:w="9061" w:type="dxa"/>
            <w:gridSpan w:val="2"/>
            <w:shd w:val="clear" w:color="auto" w:fill="E7E6E6" w:themeFill="background2"/>
          </w:tcPr>
          <w:p w14:paraId="119C502F" w14:textId="24B6198A" w:rsidR="001808A3" w:rsidRDefault="001808A3" w:rsidP="001B4D68">
            <w:pPr>
              <w:spacing w:after="0" w:line="240" w:lineRule="auto"/>
              <w:jc w:val="center"/>
            </w:pPr>
            <w:r w:rsidRPr="001808A3">
              <w:t>DISTRIBUIÇÃO DE TAREFAS</w:t>
            </w:r>
          </w:p>
        </w:tc>
      </w:tr>
      <w:tr w:rsidR="000C0FBB" w14:paraId="5119B37F" w14:textId="77777777" w:rsidTr="000C0FBB">
        <w:trPr>
          <w:trHeight w:val="512"/>
        </w:trPr>
        <w:tc>
          <w:tcPr>
            <w:tcW w:w="3640" w:type="dxa"/>
          </w:tcPr>
          <w:p w14:paraId="237D0DCD" w14:textId="47DDF0A9" w:rsidR="000C0FBB" w:rsidRDefault="000C0FBB" w:rsidP="002A3568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MÉDICO</w:t>
            </w:r>
          </w:p>
        </w:tc>
        <w:tc>
          <w:tcPr>
            <w:tcW w:w="5421" w:type="dxa"/>
          </w:tcPr>
          <w:p w14:paraId="0F873570" w14:textId="1B6DE65F" w:rsidR="000C0FBB" w:rsidRPr="001808A3" w:rsidRDefault="000C0FBB" w:rsidP="00721F1E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ind w:left="714" w:hanging="357"/>
              <w:jc w:val="both"/>
              <w:rPr>
                <w:rFonts w:cs="Calibri"/>
              </w:rPr>
            </w:pPr>
            <w:r>
              <w:rPr>
                <w:rFonts w:cs="Calibri"/>
              </w:rPr>
              <w:t>Prescreve a</w:t>
            </w:r>
            <w:r w:rsidR="00721F1E">
              <w:rPr>
                <w:rFonts w:cs="Calibri"/>
              </w:rPr>
              <w:t xml:space="preserve"> medicação especificada</w:t>
            </w:r>
            <w:r>
              <w:rPr>
                <w:rFonts w:cs="Calibri"/>
              </w:rPr>
              <w:t xml:space="preserve"> com uso de bomba de infusão conforme protocolo</w:t>
            </w:r>
          </w:p>
        </w:tc>
      </w:tr>
      <w:tr w:rsidR="0042391E" w14:paraId="65C6C349" w14:textId="77777777" w:rsidTr="00976328">
        <w:tc>
          <w:tcPr>
            <w:tcW w:w="3640" w:type="dxa"/>
            <w:vMerge w:val="restart"/>
          </w:tcPr>
          <w:p w14:paraId="4522D733" w14:textId="7370B612" w:rsidR="009B64F6" w:rsidRDefault="009B64F6" w:rsidP="002A3568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ENFERMEIRA</w:t>
            </w:r>
          </w:p>
        </w:tc>
        <w:tc>
          <w:tcPr>
            <w:tcW w:w="5421" w:type="dxa"/>
          </w:tcPr>
          <w:p w14:paraId="64A6959E" w14:textId="12CD92EF" w:rsidR="009B64F6" w:rsidRDefault="009B64F6" w:rsidP="00976328">
            <w:pPr>
              <w:pStyle w:val="PargrafodaLista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Recebe a </w:t>
            </w:r>
            <w:r w:rsidR="00976328">
              <w:rPr>
                <w:rFonts w:cs="Calibri"/>
              </w:rPr>
              <w:t>prescrição</w:t>
            </w:r>
          </w:p>
        </w:tc>
      </w:tr>
      <w:tr w:rsidR="00046B2F" w14:paraId="5C5577A2" w14:textId="77777777" w:rsidTr="00721F1E">
        <w:trPr>
          <w:trHeight w:val="273"/>
        </w:trPr>
        <w:tc>
          <w:tcPr>
            <w:tcW w:w="3640" w:type="dxa"/>
            <w:vMerge/>
          </w:tcPr>
          <w:p w14:paraId="1A9ABB11" w14:textId="77777777" w:rsidR="00046B2F" w:rsidRDefault="00046B2F" w:rsidP="002A356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21" w:type="dxa"/>
          </w:tcPr>
          <w:p w14:paraId="3D074E59" w14:textId="77717027" w:rsidR="00046B2F" w:rsidRDefault="00721F1E" w:rsidP="00721F1E">
            <w:pPr>
              <w:pStyle w:val="PargrafodaLista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color w:val="000000" w:themeColor="text1"/>
              </w:rPr>
              <w:t>Acompanha o preparo e administração</w:t>
            </w:r>
          </w:p>
        </w:tc>
      </w:tr>
      <w:tr w:rsidR="00976328" w14:paraId="3FF34DE2" w14:textId="77777777" w:rsidTr="00976328">
        <w:tc>
          <w:tcPr>
            <w:tcW w:w="3640" w:type="dxa"/>
            <w:vMerge w:val="restart"/>
          </w:tcPr>
          <w:p w14:paraId="17D2C62D" w14:textId="77777777" w:rsidR="00976328" w:rsidRDefault="00976328" w:rsidP="002A3568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TÉCNICO </w:t>
            </w:r>
          </w:p>
          <w:p w14:paraId="70F2393C" w14:textId="2FBD8D2D" w:rsidR="00976328" w:rsidRDefault="00976328" w:rsidP="00976328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ENFERMAGEM </w:t>
            </w:r>
          </w:p>
        </w:tc>
        <w:tc>
          <w:tcPr>
            <w:tcW w:w="5421" w:type="dxa"/>
          </w:tcPr>
          <w:p w14:paraId="178AB94C" w14:textId="7EFEC49C" w:rsidR="00976328" w:rsidRPr="00096BF8" w:rsidRDefault="00976328" w:rsidP="00976328">
            <w:pPr>
              <w:pStyle w:val="PargrafodaLista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Infunde conforme prescrição</w:t>
            </w:r>
          </w:p>
        </w:tc>
      </w:tr>
      <w:tr w:rsidR="00976328" w14:paraId="26CEF123" w14:textId="77777777" w:rsidTr="00976328">
        <w:tc>
          <w:tcPr>
            <w:tcW w:w="3640" w:type="dxa"/>
            <w:vMerge/>
          </w:tcPr>
          <w:p w14:paraId="57874AC8" w14:textId="77777777" w:rsidR="00976328" w:rsidRDefault="00976328" w:rsidP="002A356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5421" w:type="dxa"/>
          </w:tcPr>
          <w:p w14:paraId="7C4CBBD6" w14:textId="53ABE283" w:rsidR="00976328" w:rsidRDefault="00976328" w:rsidP="00976328">
            <w:pPr>
              <w:pStyle w:val="PargrafodaLista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Registra corretamente em prontuário o uso dos </w:t>
            </w:r>
            <w:r w:rsidR="003B70AD">
              <w:rPr>
                <w:rFonts w:cs="Calibri"/>
              </w:rPr>
              <w:t xml:space="preserve">insumos e </w:t>
            </w:r>
            <w:r>
              <w:rPr>
                <w:rFonts w:cs="Calibri"/>
              </w:rPr>
              <w:t>equipamentos</w:t>
            </w:r>
            <w:r w:rsidR="003B70AD">
              <w:rPr>
                <w:rFonts w:cs="Calibri"/>
              </w:rPr>
              <w:t xml:space="preserve"> </w:t>
            </w:r>
          </w:p>
        </w:tc>
      </w:tr>
      <w:tr w:rsidR="0042391E" w14:paraId="7F088FE9" w14:textId="77777777" w:rsidTr="00D03ABA">
        <w:tc>
          <w:tcPr>
            <w:tcW w:w="9061" w:type="dxa"/>
            <w:gridSpan w:val="2"/>
          </w:tcPr>
          <w:p w14:paraId="7DF7D738" w14:textId="77777777" w:rsidR="00AB2BE8" w:rsidRDefault="00AB2BE8" w:rsidP="00873BD3">
            <w:pPr>
              <w:pStyle w:val="PargrafodaLista"/>
              <w:spacing w:after="0" w:line="259" w:lineRule="auto"/>
              <w:ind w:left="0"/>
              <w:jc w:val="center"/>
              <w:rPr>
                <w:rFonts w:cs="Calibri"/>
                <w:b/>
              </w:rPr>
            </w:pPr>
          </w:p>
          <w:p w14:paraId="75BC46AA" w14:textId="77777777" w:rsidR="0042391E" w:rsidRDefault="00214BB8" w:rsidP="00873BD3">
            <w:pPr>
              <w:pStyle w:val="PargrafodaLista"/>
              <w:spacing w:after="0" w:line="259" w:lineRule="auto"/>
              <w:ind w:left="0"/>
              <w:jc w:val="center"/>
              <w:rPr>
                <w:rFonts w:cs="Calibri"/>
                <w:b/>
              </w:rPr>
            </w:pPr>
            <w:r w:rsidRPr="00976328">
              <w:rPr>
                <w:rFonts w:cs="Calibri"/>
                <w:b/>
              </w:rPr>
              <w:t>PROTOCOLO CLÍNICO</w:t>
            </w:r>
          </w:p>
          <w:p w14:paraId="314A00AC" w14:textId="64F0676A" w:rsidR="00AB2BE8" w:rsidRPr="00976328" w:rsidRDefault="00AB2BE8" w:rsidP="00873BD3">
            <w:pPr>
              <w:pStyle w:val="PargrafodaLista"/>
              <w:spacing w:after="0" w:line="259" w:lineRule="auto"/>
              <w:ind w:left="0"/>
              <w:jc w:val="center"/>
              <w:rPr>
                <w:rFonts w:cs="Calibri"/>
                <w:b/>
              </w:rPr>
            </w:pPr>
          </w:p>
        </w:tc>
      </w:tr>
      <w:tr w:rsidR="000930C7" w14:paraId="3FA05344" w14:textId="77777777" w:rsidTr="001B4D68">
        <w:trPr>
          <w:trHeight w:val="307"/>
        </w:trPr>
        <w:tc>
          <w:tcPr>
            <w:tcW w:w="9061" w:type="dxa"/>
            <w:gridSpan w:val="2"/>
            <w:shd w:val="clear" w:color="auto" w:fill="E7E6E6" w:themeFill="background2"/>
          </w:tcPr>
          <w:p w14:paraId="668CB8F4" w14:textId="250F2C8D" w:rsidR="000930C7" w:rsidRPr="00886B2C" w:rsidRDefault="005317D9" w:rsidP="005317D9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QUAIS OS RISCOS DA ADMINSTRAÇÃO</w:t>
            </w:r>
            <w:r w:rsidR="007E47B3">
              <w:rPr>
                <w:b/>
              </w:rPr>
              <w:t xml:space="preserve"> GRAVITACIONAL </w:t>
            </w:r>
            <w:r>
              <w:rPr>
                <w:b/>
              </w:rPr>
              <w:t>DE ALGUNS MEDICAMENTOS</w:t>
            </w:r>
            <w:r w:rsidR="007E47B3">
              <w:rPr>
                <w:b/>
              </w:rPr>
              <w:t>?</w:t>
            </w:r>
          </w:p>
        </w:tc>
      </w:tr>
      <w:tr w:rsidR="002A3568" w14:paraId="7D692573" w14:textId="77777777" w:rsidTr="001B4D68">
        <w:trPr>
          <w:trHeight w:val="243"/>
        </w:trPr>
        <w:tc>
          <w:tcPr>
            <w:tcW w:w="9061" w:type="dxa"/>
            <w:gridSpan w:val="2"/>
          </w:tcPr>
          <w:p w14:paraId="490D39A8" w14:textId="6D9A246B" w:rsidR="008D6207" w:rsidRDefault="00886B2C" w:rsidP="002D5B53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t xml:space="preserve">          </w:t>
            </w:r>
            <w:r w:rsidR="008D6207">
              <w:t xml:space="preserve">A administração de medicamentos por via endovenosa envolve um processo complexo, com vários passos técnicos, promovendo </w:t>
            </w:r>
            <w:r w:rsidR="00873BD3">
              <w:t>muitos</w:t>
            </w:r>
            <w:r w:rsidR="008D6207">
              <w:t xml:space="preserve"> momentos</w:t>
            </w:r>
            <w:r w:rsidR="00873BD3">
              <w:t xml:space="preserve"> com</w:t>
            </w:r>
            <w:r w:rsidR="008D6207">
              <w:t xml:space="preserve"> </w:t>
            </w:r>
            <w:r w:rsidR="00873BD3">
              <w:t>oportunidades de erros, de forma que atualmente constitui o processo</w:t>
            </w:r>
            <w:r w:rsidR="008D6207">
              <w:t xml:space="preserve"> mais propenso a erros numa unidade hospitalar.</w:t>
            </w:r>
            <w:r w:rsidR="008D6207">
              <w:rPr>
                <w:vertAlign w:val="superscript"/>
              </w:rPr>
              <w:t>1,2,3</w:t>
            </w:r>
            <w:r w:rsidR="007B2C46">
              <w:rPr>
                <w:vertAlign w:val="superscript"/>
              </w:rPr>
              <w:t>,5</w:t>
            </w:r>
          </w:p>
          <w:p w14:paraId="5946E4FE" w14:textId="262A062C" w:rsidR="00FA49B3" w:rsidRDefault="007B2C46" w:rsidP="002D5B53">
            <w:pPr>
              <w:spacing w:after="0" w:line="240" w:lineRule="auto"/>
              <w:jc w:val="both"/>
            </w:pPr>
            <w:r>
              <w:t xml:space="preserve">          </w:t>
            </w:r>
            <w:r w:rsidR="00395BFD">
              <w:t>O uso de bomba de infusão para administração de medicamentos é prática consagrada e segura, principalmente nos ambientes críticos e emergências.</w:t>
            </w:r>
            <w:r w:rsidR="00395BFD">
              <w:rPr>
                <w:vertAlign w:val="superscript"/>
              </w:rPr>
              <w:t>1</w:t>
            </w:r>
            <w:r>
              <w:rPr>
                <w:vertAlign w:val="superscript"/>
              </w:rPr>
              <w:t>,5</w:t>
            </w:r>
            <w:r w:rsidR="005317D9">
              <w:t xml:space="preserve"> </w:t>
            </w:r>
            <w:r w:rsidR="00886B2C">
              <w:t xml:space="preserve"> </w:t>
            </w:r>
          </w:p>
          <w:p w14:paraId="627BB438" w14:textId="6AA6D26D" w:rsidR="00A500F3" w:rsidRDefault="00FA49B3" w:rsidP="002D5B53">
            <w:pPr>
              <w:spacing w:after="0" w:line="240" w:lineRule="auto"/>
              <w:jc w:val="both"/>
            </w:pPr>
            <w:r>
              <w:t xml:space="preserve">          </w:t>
            </w:r>
            <w:r w:rsidR="00A500F3">
              <w:t xml:space="preserve">As outras formas de administração de medicamentos pela via endovenosa são: a administração em </w:t>
            </w:r>
            <w:proofErr w:type="spellStart"/>
            <w:r w:rsidR="00A500F3">
              <w:t>bolus</w:t>
            </w:r>
            <w:proofErr w:type="spellEnd"/>
            <w:r w:rsidR="00A500F3">
              <w:t xml:space="preserve"> e a infusão pelo</w:t>
            </w:r>
            <w:r w:rsidR="007B1EA1">
              <w:t xml:space="preserve"> método </w:t>
            </w:r>
            <w:r w:rsidR="00A500F3">
              <w:t xml:space="preserve">gravitacional. Neste caso haverá a necessidade de fazer o cálculo correto da quantidade de gotas (ou </w:t>
            </w:r>
            <w:proofErr w:type="spellStart"/>
            <w:r w:rsidR="00A500F3">
              <w:t>microgotas</w:t>
            </w:r>
            <w:proofErr w:type="spellEnd"/>
            <w:r w:rsidR="00A500F3">
              <w:t xml:space="preserve"> a depender do equipo) a serem infundidas e ainda controlar o gotejamento com uso de um relógio de segundos à beira-leito, um processo manual e muito sujeito a erros, a depender da complacência do equipo e da qualidade do acesso, pois a vazão vai variar conforme a resistência ao fluxo. Além do mais, diante de gotejamentos de volumes menores, como quando necessário menos de 10</w:t>
            </w:r>
            <w:r w:rsidR="000000DB">
              <w:t xml:space="preserve"> </w:t>
            </w:r>
            <w:r w:rsidR="00A500F3">
              <w:t>-</w:t>
            </w:r>
            <w:r w:rsidR="000000DB">
              <w:t xml:space="preserve"> </w:t>
            </w:r>
            <w:r w:rsidR="00A500F3">
              <w:t>15 gotas/minuto, o gotejamento fica comprometido e não é possível controlar o fluxo corretamente (realizamos testes em equipamentos em nossa instituição comprovando).</w:t>
            </w:r>
            <w:r w:rsidR="006829BF">
              <w:t xml:space="preserve"> Além do mais, há o risco potencial de manipulação do circuito do equipo pelo paciente, visando acelerar o tratamento.</w:t>
            </w:r>
            <w:r w:rsidR="00A500F3">
              <w:rPr>
                <w:vertAlign w:val="superscript"/>
              </w:rPr>
              <w:t>6</w:t>
            </w:r>
            <w:r w:rsidR="00A500F3">
              <w:t xml:space="preserve"> </w:t>
            </w:r>
            <w:r w:rsidR="003848D8">
              <w:t xml:space="preserve"> </w:t>
            </w:r>
          </w:p>
          <w:p w14:paraId="2AAD20E8" w14:textId="16DB6760" w:rsidR="00A500F3" w:rsidRPr="00D40569" w:rsidRDefault="00A500F3" w:rsidP="00A500F3">
            <w:pPr>
              <w:spacing w:after="0" w:line="240" w:lineRule="auto"/>
              <w:jc w:val="both"/>
            </w:pPr>
            <w:r>
              <w:t xml:space="preserve">          A</w:t>
            </w:r>
            <w:r w:rsidR="003848D8">
              <w:t xml:space="preserve"> probabilidade de erro</w:t>
            </w:r>
            <w:r>
              <w:t xml:space="preserve"> de administração</w:t>
            </w:r>
            <w:r w:rsidR="003848D8">
              <w:t xml:space="preserve"> é muito elevada, sendo que o erro de controle de velocidade de infusão (vazão) é </w:t>
            </w:r>
            <w:r w:rsidR="003B5592">
              <w:t xml:space="preserve">o </w:t>
            </w:r>
            <w:r w:rsidR="003848D8">
              <w:t>mais comumente encontrado na prática hospitalar</w:t>
            </w:r>
            <w:r w:rsidR="00546450">
              <w:t xml:space="preserve"> brasileira, com letalidade em cerca de 8.000 pessoas ao ano</w:t>
            </w:r>
            <w:r w:rsidR="0021630D">
              <w:t>, conforme dados do ISMP (Instituto para práticas seguras do Medicamento)</w:t>
            </w:r>
            <w:r w:rsidR="003848D8">
              <w:t>.</w:t>
            </w:r>
            <w:r w:rsidR="003848D8">
              <w:rPr>
                <w:vertAlign w:val="superscript"/>
              </w:rPr>
              <w:t xml:space="preserve">6 </w:t>
            </w:r>
            <w:r w:rsidR="00D40569">
              <w:t>Os antibióticos sistêmicos correspondem a 20% dos erros de administração</w:t>
            </w:r>
            <w:r w:rsidR="00D40569">
              <w:rPr>
                <w:vertAlign w:val="superscript"/>
              </w:rPr>
              <w:t>6</w:t>
            </w:r>
            <w:r w:rsidR="00D40569">
              <w:t xml:space="preserve">. </w:t>
            </w:r>
          </w:p>
          <w:p w14:paraId="13C850ED" w14:textId="19E5B159" w:rsidR="00FA49B3" w:rsidRDefault="00A500F3" w:rsidP="006829BF">
            <w:pPr>
              <w:spacing w:after="0" w:line="240" w:lineRule="auto"/>
              <w:jc w:val="both"/>
            </w:pPr>
            <w:r>
              <w:t xml:space="preserve">          Um erro de administração por infusão rápida inadvertida</w:t>
            </w:r>
            <w:r w:rsidR="006829BF">
              <w:t xml:space="preserve"> de alguns </w:t>
            </w:r>
            <w:r w:rsidR="005317D9">
              <w:t>medicamentos pode ocasionar lesões em órgãos, como rins e fígado</w:t>
            </w:r>
            <w:r w:rsidR="005D0ED3">
              <w:t xml:space="preserve">, além de risco de arritmias e parada cardíaca, sangramento ou disfunção cardíaca ou reações </w:t>
            </w:r>
            <w:proofErr w:type="spellStart"/>
            <w:r w:rsidR="005D0ED3">
              <w:t>urticariformes</w:t>
            </w:r>
            <w:proofErr w:type="spellEnd"/>
            <w:r w:rsidR="005D0ED3">
              <w:t xml:space="preserve"> a depender do medicamento</w:t>
            </w:r>
            <w:r w:rsidR="003B5592">
              <w:t>. Isto sem citar o</w:t>
            </w:r>
            <w:r w:rsidR="006829BF">
              <w:t xml:space="preserve"> risco de sobrecarga hídrica, que po</w:t>
            </w:r>
            <w:r w:rsidR="00BC4215">
              <w:t>de levar a sintomas respiratório</w:t>
            </w:r>
            <w:r w:rsidR="006829BF">
              <w:t xml:space="preserve">s nas pacientes gestantes (que já estão em processo fisiológico de sobrecarga hídrica). </w:t>
            </w:r>
          </w:p>
          <w:p w14:paraId="6F35C8E6" w14:textId="7BF68A7C" w:rsidR="006829BF" w:rsidRPr="002D5B53" w:rsidRDefault="006829BF" w:rsidP="006829BF">
            <w:pPr>
              <w:spacing w:after="0" w:line="240" w:lineRule="auto"/>
              <w:jc w:val="both"/>
            </w:pPr>
            <w:r>
              <w:t xml:space="preserve">          Diante de todo o risco elencado, a comissão de padronização da CSH em reunião conjunta define os critérios para uso da </w:t>
            </w:r>
            <w:r w:rsidR="004C02D9">
              <w:t xml:space="preserve">bomba de </w:t>
            </w:r>
            <w:r>
              <w:t>infusão</w:t>
            </w:r>
            <w:r w:rsidR="004C02D9">
              <w:t xml:space="preserve"> para administração</w:t>
            </w:r>
            <w:r>
              <w:t xml:space="preserve"> de medicamentos pela via endovenosa na instituição.</w:t>
            </w:r>
          </w:p>
        </w:tc>
      </w:tr>
      <w:tr w:rsidR="007E47B3" w:rsidRPr="007E47B3" w14:paraId="1B817A2D" w14:textId="77777777" w:rsidTr="007E47B3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5B13A3D8" w14:textId="5FD223B5" w:rsidR="007E47B3" w:rsidRPr="005D0ED3" w:rsidRDefault="00A500F3" w:rsidP="007E47B3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D0ED3">
              <w:rPr>
                <w:b/>
                <w:sz w:val="24"/>
                <w:szCs w:val="24"/>
              </w:rPr>
              <w:t xml:space="preserve"> </w:t>
            </w:r>
            <w:r w:rsidR="005D0ED3" w:rsidRPr="005D0ED3">
              <w:rPr>
                <w:b/>
                <w:sz w:val="24"/>
                <w:szCs w:val="24"/>
              </w:rPr>
              <w:t>QUAIS AS VANTAGENS DO USO DO EQUIPAMENTO PARA INFUSÃO?</w:t>
            </w:r>
          </w:p>
        </w:tc>
      </w:tr>
      <w:tr w:rsidR="007E47B3" w14:paraId="7E05DD57" w14:textId="77777777" w:rsidTr="001B4D68">
        <w:trPr>
          <w:trHeight w:val="243"/>
        </w:trPr>
        <w:tc>
          <w:tcPr>
            <w:tcW w:w="9061" w:type="dxa"/>
            <w:gridSpan w:val="2"/>
          </w:tcPr>
          <w:p w14:paraId="6CA34DC6" w14:textId="77777777" w:rsidR="005D0ED3" w:rsidRDefault="007E47B3" w:rsidP="005D0ED3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t xml:space="preserve">          As bombas de infusão são equipamentos que regulam o fluxo dos líquidos administrados sob pressão positiva na terapia intravenosa e atualmente vêm sendo cada vez mais utilizadas para prática </w:t>
            </w:r>
            <w:r w:rsidR="005D0ED3">
              <w:t xml:space="preserve">de infusão de medicamentos no ambiente hospitalar </w:t>
            </w:r>
            <w:r>
              <w:t xml:space="preserve">nacional e </w:t>
            </w:r>
            <w:r w:rsidRPr="007E47B3">
              <w:t>internacional</w:t>
            </w:r>
            <w:r w:rsidR="005D0ED3">
              <w:t>.</w:t>
            </w:r>
            <w:r w:rsidR="005D0ED3">
              <w:rPr>
                <w:vertAlign w:val="superscript"/>
              </w:rPr>
              <w:t>1,4,5</w:t>
            </w:r>
          </w:p>
          <w:p w14:paraId="28DAC2B4" w14:textId="3A982C72" w:rsidR="007E47B3" w:rsidRPr="005D0ED3" w:rsidRDefault="005D0ED3" w:rsidP="005D0ED3">
            <w:pPr>
              <w:spacing w:after="0" w:line="24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lastRenderedPageBreak/>
              <w:t xml:space="preserve">                </w:t>
            </w:r>
            <w:r>
              <w:t>Basicamente, o uso do equipamento durante a administração irá aumentar a</w:t>
            </w:r>
            <w:r w:rsidR="007E47B3">
              <w:t xml:space="preserve"> segurança para o pa</w:t>
            </w:r>
            <w:r>
              <w:t>ciente:</w:t>
            </w:r>
          </w:p>
          <w:p w14:paraId="645CA924" w14:textId="1B35562E" w:rsidR="005D0ED3" w:rsidRDefault="008D6207" w:rsidP="008D6207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Reduz</w:t>
            </w:r>
            <w:r w:rsidR="005D0ED3">
              <w:t>indo</w:t>
            </w:r>
            <w:r>
              <w:t xml:space="preserve"> erros na administração, </w:t>
            </w:r>
            <w:r w:rsidR="00680A0B">
              <w:t>muitos destes fatais (como doses elevadas de noradrenalina</w:t>
            </w:r>
            <w:r w:rsidR="000A7690">
              <w:t xml:space="preserve"> ou administração rápida de potássio,</w:t>
            </w:r>
            <w:r w:rsidR="00680A0B">
              <w:t xml:space="preserve"> </w:t>
            </w:r>
            <w:r w:rsidR="005D0ED3">
              <w:t xml:space="preserve">que podem levar a arritmias e parada cardíaca </w:t>
            </w:r>
            <w:r w:rsidR="00680A0B">
              <w:t xml:space="preserve">ou </w:t>
            </w:r>
            <w:r w:rsidR="000A7690">
              <w:t xml:space="preserve">administração de altas doses de </w:t>
            </w:r>
            <w:r w:rsidR="00680A0B">
              <w:t>heparina</w:t>
            </w:r>
            <w:r w:rsidR="005D0ED3">
              <w:t xml:space="preserve"> que pode levar a sangramento);</w:t>
            </w:r>
          </w:p>
          <w:p w14:paraId="734D7FEF" w14:textId="021104CC" w:rsidR="008D6207" w:rsidRPr="008D6207" w:rsidRDefault="005D0ED3" w:rsidP="008D6207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R</w:t>
            </w:r>
            <w:r w:rsidR="008D6207">
              <w:t>eduzindo complicações</w:t>
            </w:r>
            <w:r>
              <w:t xml:space="preserve"> na infusão e velocidades ou doses inadvertidas</w:t>
            </w:r>
            <w:r w:rsidR="008D6207">
              <w:t xml:space="preserve"> por meio dos ALARMES </w:t>
            </w:r>
            <w:r w:rsidR="008D6207" w:rsidRPr="008D6207">
              <w:t xml:space="preserve">para avisar em casos de complicações </w:t>
            </w:r>
            <w:r>
              <w:t>(</w:t>
            </w:r>
            <w:r w:rsidR="008D6207" w:rsidRPr="008D6207">
              <w:t>como extravasamento ou obstrução</w:t>
            </w:r>
            <w:r>
              <w:t>)</w:t>
            </w:r>
            <w:r w:rsidR="008D6207" w:rsidRPr="008D6207">
              <w:t>;</w:t>
            </w:r>
            <w:r w:rsidR="008D6207">
              <w:t xml:space="preserve"> </w:t>
            </w:r>
            <w:r w:rsidR="008D6207">
              <w:rPr>
                <w:vertAlign w:val="superscript"/>
              </w:rPr>
              <w:t>1</w:t>
            </w:r>
            <w:r w:rsidR="00495734">
              <w:rPr>
                <w:vertAlign w:val="superscript"/>
              </w:rPr>
              <w:t>,4</w:t>
            </w:r>
            <w:r w:rsidR="00624919">
              <w:rPr>
                <w:vertAlign w:val="superscript"/>
              </w:rPr>
              <w:t>,5</w:t>
            </w:r>
          </w:p>
          <w:p w14:paraId="11E6B6BF" w14:textId="15259784" w:rsidR="008D6207" w:rsidRPr="00495734" w:rsidRDefault="008D6207" w:rsidP="008D6207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Reduz o risco de administração em tempo inadequado</w:t>
            </w:r>
            <w:r w:rsidR="005D0ED3">
              <w:t xml:space="preserve">, ou </w:t>
            </w:r>
            <w:r w:rsidR="00495734">
              <w:t>seja</w:t>
            </w:r>
            <w:r w:rsidR="005D0ED3">
              <w:t>,</w:t>
            </w:r>
            <w:r w:rsidR="00495734">
              <w:t xml:space="preserve"> da taxa de infusão,</w:t>
            </w:r>
            <w:r>
              <w:t xml:space="preserve"> (geralmente o controle fino da infusão gravitacional é inadequado com tendência </w:t>
            </w:r>
            <w:proofErr w:type="gramStart"/>
            <w:r>
              <w:t>do</w:t>
            </w:r>
            <w:proofErr w:type="gramEnd"/>
            <w:r>
              <w:t xml:space="preserve"> medicamento ser administrado em tempo menor do que o recomendado, gerando efeitos adversos)</w:t>
            </w:r>
            <w:r w:rsidR="005D0ED3">
              <w:t>, sendo o erro mais comum na administração dos medicamentos</w:t>
            </w:r>
            <w:r w:rsidR="00495734">
              <w:rPr>
                <w:vertAlign w:val="superscript"/>
              </w:rPr>
              <w:t>5</w:t>
            </w:r>
            <w:r w:rsidR="005D0ED3">
              <w:rPr>
                <w:vertAlign w:val="superscript"/>
              </w:rPr>
              <w:t>,6</w:t>
            </w:r>
          </w:p>
          <w:p w14:paraId="570834EE" w14:textId="3EAC2819" w:rsidR="00495734" w:rsidRDefault="00495734" w:rsidP="00495734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495734">
              <w:t xml:space="preserve">Reduz o risco de administração </w:t>
            </w:r>
            <w:r>
              <w:t>inadequada da dose</w:t>
            </w:r>
            <w:r w:rsidR="005D0ED3">
              <w:t>, por meio de alarmes de segurança</w:t>
            </w:r>
            <w:r>
              <w:rPr>
                <w:vertAlign w:val="superscript"/>
              </w:rPr>
              <w:t>5</w:t>
            </w:r>
          </w:p>
          <w:p w14:paraId="538F0BF6" w14:textId="5B4D0EB9" w:rsidR="00495734" w:rsidRDefault="00495734" w:rsidP="007E47B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AC641A">
              <w:rPr>
                <w:u w:val="single"/>
              </w:rPr>
              <w:t>Reduz o número de eventos adversos relacionados à administração</w:t>
            </w:r>
            <w:r w:rsidR="007B2C46" w:rsidRPr="00AC641A">
              <w:rPr>
                <w:u w:val="single"/>
              </w:rPr>
              <w:t xml:space="preserve"> em 22%</w:t>
            </w:r>
            <w:r w:rsidR="00624919" w:rsidRPr="00AC641A">
              <w:rPr>
                <w:u w:val="single"/>
              </w:rPr>
              <w:t>, chegando a 73% em alguns setores específicos</w:t>
            </w:r>
            <w:r>
              <w:t>, permitindo que a prática de infusão com bomba se torne custo-efetiva</w:t>
            </w:r>
            <w:r>
              <w:rPr>
                <w:vertAlign w:val="superscript"/>
              </w:rPr>
              <w:t>5</w:t>
            </w:r>
          </w:p>
          <w:p w14:paraId="617900F1" w14:textId="2B603DC4" w:rsidR="007E47B3" w:rsidRDefault="007E47B3" w:rsidP="007E47B3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Reduz risco da </w:t>
            </w:r>
            <w:proofErr w:type="spellStart"/>
            <w:r>
              <w:t>hipervolemia</w:t>
            </w:r>
            <w:proofErr w:type="spellEnd"/>
            <w:r>
              <w:t xml:space="preserve">, permitindo controle adequado do volume e evitando administração excessiva </w:t>
            </w:r>
            <w:r w:rsidR="00395BFD">
              <w:t>de volume em menor tempo</w:t>
            </w:r>
            <w:r w:rsidR="00AC641A">
              <w:t>;</w:t>
            </w:r>
          </w:p>
          <w:p w14:paraId="7D5CAC54" w14:textId="04419A5B" w:rsidR="007E47B3" w:rsidRDefault="007E47B3" w:rsidP="00395BFD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 xml:space="preserve">Permite infusão de grandes volumes em pouco tempo, sendo uma boa indicação </w:t>
            </w:r>
            <w:r w:rsidR="00395BFD">
              <w:t>nos casos de graves como choque</w:t>
            </w:r>
            <w:r w:rsidR="00A1111C">
              <w:t>;</w:t>
            </w:r>
          </w:p>
          <w:p w14:paraId="6EDBB6EF" w14:textId="20DBBE8A" w:rsidR="00620BA2" w:rsidRDefault="00620BA2" w:rsidP="00395BFD">
            <w:pPr>
              <w:pStyle w:val="PargrafodaLista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Reduz o dano renal, evitando necessidade de dosagem dos níveis (concentração) de antibiótico no sangue (</w:t>
            </w:r>
            <w:proofErr w:type="spellStart"/>
            <w:r>
              <w:t>vancocinemia</w:t>
            </w:r>
            <w:proofErr w:type="spellEnd"/>
            <w:r>
              <w:t xml:space="preserve">, </w:t>
            </w:r>
            <w:proofErr w:type="spellStart"/>
            <w:r>
              <w:t>gentamicinemia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).</w:t>
            </w:r>
            <w:r>
              <w:rPr>
                <w:vertAlign w:val="superscript"/>
              </w:rPr>
              <w:t>7</w:t>
            </w:r>
          </w:p>
        </w:tc>
      </w:tr>
      <w:tr w:rsidR="004A3944" w14:paraId="5AAFDD24" w14:textId="77777777" w:rsidTr="004A3944">
        <w:trPr>
          <w:trHeight w:val="2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436A28E6" w14:textId="5C6CFC78" w:rsidR="004A3944" w:rsidRPr="00886B2C" w:rsidRDefault="007B2C46" w:rsidP="00650F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QUAIS AS MEDICAÇÕES DEVEM SER ADMINISTRADAS COM USO DE BOMBA DE INFUSÃO?</w:t>
            </w:r>
          </w:p>
        </w:tc>
      </w:tr>
      <w:tr w:rsidR="004A3944" w14:paraId="772FF2EB" w14:textId="77777777" w:rsidTr="001B4D68">
        <w:trPr>
          <w:trHeight w:val="243"/>
        </w:trPr>
        <w:tc>
          <w:tcPr>
            <w:tcW w:w="9061" w:type="dxa"/>
            <w:gridSpan w:val="2"/>
          </w:tcPr>
          <w:p w14:paraId="58EC3C97" w14:textId="271C4C8B" w:rsidR="009A7D60" w:rsidRDefault="001A2140" w:rsidP="009A7D60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os medicamentos com recomendação do fabricante (em bula) para</w:t>
            </w:r>
            <w:r w:rsidR="00D40569">
              <w:rPr>
                <w:sz w:val="24"/>
                <w:szCs w:val="24"/>
              </w:rPr>
              <w:t xml:space="preserve"> uso contínuo (exceto soroterapia</w:t>
            </w:r>
            <w:r w:rsidR="00A418D2">
              <w:rPr>
                <w:sz w:val="24"/>
                <w:szCs w:val="24"/>
              </w:rPr>
              <w:t xml:space="preserve"> habitual</w:t>
            </w:r>
            <w:r w:rsidR="00D40569">
              <w:rPr>
                <w:sz w:val="24"/>
                <w:szCs w:val="24"/>
              </w:rPr>
              <w:t xml:space="preserve"> para adultos)</w:t>
            </w:r>
            <w:r w:rsidR="00A418D2">
              <w:rPr>
                <w:sz w:val="24"/>
                <w:szCs w:val="24"/>
              </w:rPr>
              <w:t>:</w:t>
            </w:r>
          </w:p>
          <w:p w14:paraId="7232DA97" w14:textId="6EB45021" w:rsidR="001A2140" w:rsidRDefault="001A2140" w:rsidP="009A7D60">
            <w:pPr>
              <w:pStyle w:val="PargrafodaLista"/>
              <w:numPr>
                <w:ilvl w:val="1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Drogas vasoativas</w:t>
            </w:r>
            <w:r w:rsidR="00600807">
              <w:rPr>
                <w:sz w:val="24"/>
                <w:szCs w:val="24"/>
                <w:vertAlign w:val="superscript"/>
              </w:rPr>
              <w:t>9</w:t>
            </w:r>
            <w:r>
              <w:rPr>
                <w:sz w:val="24"/>
                <w:szCs w:val="24"/>
              </w:rPr>
              <w:t xml:space="preserve"> (risco de </w:t>
            </w:r>
            <w:proofErr w:type="spellStart"/>
            <w:r>
              <w:rPr>
                <w:sz w:val="24"/>
                <w:szCs w:val="24"/>
              </w:rPr>
              <w:t>hiper</w:t>
            </w:r>
            <w:proofErr w:type="spellEnd"/>
            <w:r>
              <w:rPr>
                <w:sz w:val="24"/>
                <w:szCs w:val="24"/>
              </w:rPr>
              <w:t>/hipotensão, choque, arritmias e PCR)</w:t>
            </w:r>
            <w:r w:rsidR="00600807">
              <w:rPr>
                <w:sz w:val="24"/>
                <w:szCs w:val="24"/>
              </w:rPr>
              <w:t>:</w:t>
            </w:r>
          </w:p>
          <w:p w14:paraId="5AFB04CC" w14:textId="0C492D4E" w:rsidR="001A2140" w:rsidRPr="00AB2BE8" w:rsidRDefault="001A2140" w:rsidP="001A2140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>Dopamina (</w:t>
            </w:r>
            <w:proofErr w:type="spellStart"/>
            <w:r w:rsidRPr="00AB2BE8">
              <w:rPr>
                <w:sz w:val="20"/>
                <w:szCs w:val="20"/>
              </w:rPr>
              <w:t>Dopacris</w:t>
            </w:r>
            <w:r w:rsidR="00A418D2" w:rsidRPr="00AB2BE8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AB2BE8">
              <w:rPr>
                <w:sz w:val="20"/>
                <w:szCs w:val="20"/>
              </w:rPr>
              <w:t>)</w:t>
            </w:r>
          </w:p>
          <w:p w14:paraId="4E6CB57B" w14:textId="7F36D574" w:rsidR="001A2140" w:rsidRPr="00AB2BE8" w:rsidRDefault="001A2140" w:rsidP="001A2140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D</w:t>
            </w:r>
            <w:r w:rsidR="0021630D" w:rsidRPr="00AB2BE8">
              <w:rPr>
                <w:sz w:val="20"/>
                <w:szCs w:val="20"/>
              </w:rPr>
              <w:t>obutamina</w:t>
            </w:r>
            <w:proofErr w:type="spellEnd"/>
            <w:r w:rsidRPr="00AB2BE8">
              <w:rPr>
                <w:sz w:val="20"/>
                <w:szCs w:val="20"/>
              </w:rPr>
              <w:t xml:space="preserve"> (</w:t>
            </w:r>
            <w:proofErr w:type="spellStart"/>
            <w:r w:rsidRPr="00AB2BE8">
              <w:rPr>
                <w:sz w:val="20"/>
                <w:szCs w:val="20"/>
              </w:rPr>
              <w:t>Dobutrex</w:t>
            </w:r>
            <w:r w:rsidR="00A418D2" w:rsidRPr="00AB2BE8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AB2BE8">
              <w:rPr>
                <w:sz w:val="20"/>
                <w:szCs w:val="20"/>
              </w:rPr>
              <w:t>)</w:t>
            </w:r>
          </w:p>
          <w:p w14:paraId="073E5B5B" w14:textId="4ABABA8F" w:rsidR="001A2140" w:rsidRPr="00AB2BE8" w:rsidRDefault="001A2140" w:rsidP="001A2140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>A</w:t>
            </w:r>
            <w:r w:rsidR="0021630D" w:rsidRPr="00AB2BE8">
              <w:rPr>
                <w:sz w:val="20"/>
                <w:szCs w:val="20"/>
              </w:rPr>
              <w:t>drenalina</w:t>
            </w:r>
            <w:r w:rsidRPr="00AB2BE8">
              <w:rPr>
                <w:sz w:val="20"/>
                <w:szCs w:val="20"/>
              </w:rPr>
              <w:t xml:space="preserve"> (</w:t>
            </w:r>
            <w:proofErr w:type="spellStart"/>
            <w:r w:rsidRPr="00AB2BE8">
              <w:rPr>
                <w:sz w:val="20"/>
                <w:szCs w:val="20"/>
              </w:rPr>
              <w:t>Adren</w:t>
            </w:r>
            <w:r w:rsidR="00A418D2" w:rsidRPr="00AB2BE8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AB2BE8">
              <w:rPr>
                <w:sz w:val="20"/>
                <w:szCs w:val="20"/>
              </w:rPr>
              <w:t>)</w:t>
            </w:r>
          </w:p>
          <w:p w14:paraId="752AB917" w14:textId="523BDE0B" w:rsidR="001A2140" w:rsidRPr="00AB2BE8" w:rsidRDefault="001A2140" w:rsidP="001A2140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>Noradrenalina</w:t>
            </w:r>
            <w:r w:rsidR="00E412AD" w:rsidRPr="00AB2BE8">
              <w:rPr>
                <w:sz w:val="20"/>
                <w:szCs w:val="20"/>
              </w:rPr>
              <w:t xml:space="preserve"> (</w:t>
            </w:r>
            <w:proofErr w:type="spellStart"/>
            <w:r w:rsidR="00E412AD" w:rsidRPr="00AB2BE8">
              <w:rPr>
                <w:sz w:val="20"/>
                <w:szCs w:val="20"/>
              </w:rPr>
              <w:t>Norepinefrina</w:t>
            </w:r>
            <w:proofErr w:type="spellEnd"/>
            <w:r w:rsidR="00E412AD" w:rsidRPr="00AB2BE8">
              <w:rPr>
                <w:sz w:val="20"/>
                <w:szCs w:val="20"/>
              </w:rPr>
              <w:t>)</w:t>
            </w:r>
          </w:p>
          <w:p w14:paraId="1DE3D062" w14:textId="4975E80A" w:rsidR="001A2140" w:rsidRPr="00AB2BE8" w:rsidRDefault="001A2140" w:rsidP="001A2140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M</w:t>
            </w:r>
            <w:r w:rsidR="0021630D" w:rsidRPr="00AB2BE8">
              <w:rPr>
                <w:sz w:val="20"/>
                <w:szCs w:val="20"/>
              </w:rPr>
              <w:t>ilrinona</w:t>
            </w:r>
            <w:proofErr w:type="spellEnd"/>
            <w:r w:rsidRPr="00AB2BE8">
              <w:rPr>
                <w:sz w:val="20"/>
                <w:szCs w:val="20"/>
              </w:rPr>
              <w:t xml:space="preserve"> (</w:t>
            </w:r>
            <w:proofErr w:type="spellStart"/>
            <w:r w:rsidRPr="00AB2BE8">
              <w:rPr>
                <w:sz w:val="20"/>
                <w:szCs w:val="20"/>
              </w:rPr>
              <w:t>Primacor</w:t>
            </w:r>
            <w:r w:rsidR="00A418D2" w:rsidRPr="00AB2BE8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AB2BE8">
              <w:rPr>
                <w:sz w:val="20"/>
                <w:szCs w:val="20"/>
              </w:rPr>
              <w:t>)</w:t>
            </w:r>
          </w:p>
          <w:p w14:paraId="3F3F0F3C" w14:textId="11FF2151" w:rsidR="001A2140" w:rsidRPr="00AB2BE8" w:rsidRDefault="001A2140" w:rsidP="001A2140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N</w:t>
            </w:r>
            <w:r w:rsidR="006522F6" w:rsidRPr="00AB2BE8">
              <w:rPr>
                <w:sz w:val="20"/>
                <w:szCs w:val="20"/>
              </w:rPr>
              <w:t>itroprussiato</w:t>
            </w:r>
            <w:proofErr w:type="spellEnd"/>
            <w:r w:rsidR="00F717E6" w:rsidRPr="00AB2BE8">
              <w:rPr>
                <w:sz w:val="20"/>
                <w:szCs w:val="20"/>
              </w:rPr>
              <w:t xml:space="preserve"> (</w:t>
            </w:r>
            <w:proofErr w:type="spellStart"/>
            <w:r w:rsidR="00F717E6" w:rsidRPr="00AB2BE8">
              <w:rPr>
                <w:sz w:val="20"/>
                <w:szCs w:val="20"/>
              </w:rPr>
              <w:t>Nitroprus</w:t>
            </w:r>
            <w:r w:rsidR="00A418D2" w:rsidRPr="00AB2BE8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AB2BE8">
              <w:rPr>
                <w:sz w:val="20"/>
                <w:szCs w:val="20"/>
              </w:rPr>
              <w:t>)</w:t>
            </w:r>
          </w:p>
          <w:p w14:paraId="268D8B20" w14:textId="5B60ED7C" w:rsidR="0021630D" w:rsidRPr="00AB2BE8" w:rsidRDefault="001A2140" w:rsidP="001A2140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>P</w:t>
            </w:r>
            <w:r w:rsidR="00873BD3" w:rsidRPr="00AB2BE8">
              <w:rPr>
                <w:sz w:val="20"/>
                <w:szCs w:val="20"/>
              </w:rPr>
              <w:t>rostaglandina</w:t>
            </w:r>
            <w:r w:rsidR="00A102FB" w:rsidRPr="00AB2BE8">
              <w:rPr>
                <w:sz w:val="20"/>
                <w:szCs w:val="20"/>
              </w:rPr>
              <w:t xml:space="preserve"> E1 (</w:t>
            </w:r>
            <w:proofErr w:type="spellStart"/>
            <w:r w:rsidRPr="00AB2BE8">
              <w:rPr>
                <w:sz w:val="20"/>
                <w:szCs w:val="20"/>
              </w:rPr>
              <w:t>Prostavasin</w:t>
            </w:r>
            <w:r w:rsidR="00A102FB" w:rsidRPr="00AB2BE8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AB2BE8">
              <w:rPr>
                <w:sz w:val="20"/>
                <w:szCs w:val="20"/>
              </w:rPr>
              <w:t>)</w:t>
            </w:r>
          </w:p>
          <w:p w14:paraId="30839766" w14:textId="77777777" w:rsidR="00510542" w:rsidRDefault="00510542" w:rsidP="00510542">
            <w:pPr>
              <w:pStyle w:val="PargrafodaLista"/>
              <w:spacing w:after="0" w:line="240" w:lineRule="auto"/>
              <w:ind w:left="2688"/>
              <w:jc w:val="both"/>
              <w:rPr>
                <w:sz w:val="24"/>
                <w:szCs w:val="24"/>
              </w:rPr>
            </w:pPr>
          </w:p>
          <w:p w14:paraId="12CABE83" w14:textId="77777777" w:rsidR="003E1B5E" w:rsidRDefault="003E1B5E" w:rsidP="009A7D60">
            <w:pPr>
              <w:pStyle w:val="PargrafodaLista"/>
              <w:numPr>
                <w:ilvl w:val="1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Analgésicos e Sedativos (quando prescritos para uso contínuo):</w:t>
            </w:r>
          </w:p>
          <w:p w14:paraId="13FA9BE7" w14:textId="64C2F04E" w:rsidR="003E1B5E" w:rsidRPr="00AB2BE8" w:rsidRDefault="003E1B5E" w:rsidP="003E1B5E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Opióides</w:t>
            </w:r>
            <w:proofErr w:type="spellEnd"/>
            <w:r w:rsidRPr="00AB2BE8">
              <w:rPr>
                <w:sz w:val="20"/>
                <w:szCs w:val="20"/>
              </w:rPr>
              <w:t xml:space="preserve">: </w:t>
            </w:r>
            <w:proofErr w:type="spellStart"/>
            <w:r w:rsidRPr="00AB2BE8">
              <w:rPr>
                <w:sz w:val="20"/>
                <w:szCs w:val="20"/>
              </w:rPr>
              <w:t>Fentanyl</w:t>
            </w:r>
            <w:proofErr w:type="spellEnd"/>
            <w:r w:rsidRPr="00AB2BE8">
              <w:rPr>
                <w:sz w:val="20"/>
                <w:szCs w:val="20"/>
              </w:rPr>
              <w:t xml:space="preserve">, </w:t>
            </w:r>
            <w:proofErr w:type="spellStart"/>
            <w:r w:rsidRPr="00AB2BE8">
              <w:rPr>
                <w:sz w:val="20"/>
                <w:szCs w:val="20"/>
              </w:rPr>
              <w:t>Remifentanil</w:t>
            </w:r>
            <w:proofErr w:type="spellEnd"/>
            <w:r w:rsidRPr="00AB2BE8">
              <w:rPr>
                <w:sz w:val="20"/>
                <w:szCs w:val="20"/>
              </w:rPr>
              <w:t>, Morfina, etc.</w:t>
            </w:r>
          </w:p>
          <w:p w14:paraId="11AF1823" w14:textId="2A7C77E0" w:rsidR="003E1B5E" w:rsidRPr="00AB2BE8" w:rsidRDefault="003E1B5E" w:rsidP="003E1B5E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 xml:space="preserve">Sedativos: </w:t>
            </w:r>
            <w:proofErr w:type="spellStart"/>
            <w:r w:rsidRPr="00AB2BE8">
              <w:rPr>
                <w:sz w:val="20"/>
                <w:szCs w:val="20"/>
              </w:rPr>
              <w:t>Midazolan</w:t>
            </w:r>
            <w:proofErr w:type="spellEnd"/>
            <w:r w:rsidR="00510542" w:rsidRPr="00AB2BE8">
              <w:rPr>
                <w:sz w:val="20"/>
                <w:szCs w:val="20"/>
              </w:rPr>
              <w:t xml:space="preserve"> (</w:t>
            </w:r>
            <w:proofErr w:type="spellStart"/>
            <w:r w:rsidR="00510542" w:rsidRPr="00AB2BE8">
              <w:rPr>
                <w:sz w:val="20"/>
                <w:szCs w:val="20"/>
              </w:rPr>
              <w:t>Dormonid</w:t>
            </w:r>
            <w:r w:rsidR="00510542" w:rsidRPr="00AB2BE8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="00510542" w:rsidRPr="00AB2BE8">
              <w:rPr>
                <w:sz w:val="20"/>
                <w:szCs w:val="20"/>
              </w:rPr>
              <w:t>)</w:t>
            </w:r>
            <w:r w:rsidRPr="00AB2BE8">
              <w:rPr>
                <w:sz w:val="20"/>
                <w:szCs w:val="20"/>
              </w:rPr>
              <w:t xml:space="preserve">, </w:t>
            </w:r>
            <w:proofErr w:type="spellStart"/>
            <w:r w:rsidRPr="00AB2BE8">
              <w:rPr>
                <w:sz w:val="20"/>
                <w:szCs w:val="20"/>
              </w:rPr>
              <w:t>Dexmedetomidina</w:t>
            </w:r>
            <w:proofErr w:type="spellEnd"/>
            <w:r w:rsidRPr="00AB2BE8">
              <w:rPr>
                <w:sz w:val="20"/>
                <w:szCs w:val="20"/>
              </w:rPr>
              <w:t xml:space="preserve"> (</w:t>
            </w:r>
            <w:proofErr w:type="spellStart"/>
            <w:r w:rsidRPr="00AB2BE8">
              <w:rPr>
                <w:sz w:val="20"/>
                <w:szCs w:val="20"/>
              </w:rPr>
              <w:t>Precedex</w:t>
            </w:r>
            <w:r w:rsidR="00510542" w:rsidRPr="00AB2BE8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AB2BE8">
              <w:rPr>
                <w:sz w:val="20"/>
                <w:szCs w:val="20"/>
              </w:rPr>
              <w:t xml:space="preserve">), </w:t>
            </w:r>
            <w:proofErr w:type="spellStart"/>
            <w:r w:rsidRPr="00AB2BE8">
              <w:rPr>
                <w:sz w:val="20"/>
                <w:szCs w:val="20"/>
              </w:rPr>
              <w:t>Ketamina</w:t>
            </w:r>
            <w:proofErr w:type="spellEnd"/>
            <w:r w:rsidRPr="00AB2BE8">
              <w:rPr>
                <w:sz w:val="20"/>
                <w:szCs w:val="20"/>
              </w:rPr>
              <w:t xml:space="preserve"> (ou </w:t>
            </w:r>
            <w:proofErr w:type="spellStart"/>
            <w:r w:rsidRPr="00AB2BE8">
              <w:rPr>
                <w:sz w:val="20"/>
                <w:szCs w:val="20"/>
              </w:rPr>
              <w:t>cetamina</w:t>
            </w:r>
            <w:proofErr w:type="spellEnd"/>
            <w:r w:rsidRPr="00AB2BE8">
              <w:rPr>
                <w:sz w:val="20"/>
                <w:szCs w:val="20"/>
              </w:rPr>
              <w:t>), etc.</w:t>
            </w:r>
          </w:p>
          <w:p w14:paraId="040F96C8" w14:textId="77777777" w:rsidR="00510542" w:rsidRPr="003E1B5E" w:rsidRDefault="00510542" w:rsidP="00510542">
            <w:pPr>
              <w:pStyle w:val="PargrafodaLista"/>
              <w:spacing w:after="0" w:line="240" w:lineRule="auto"/>
              <w:ind w:left="2688"/>
              <w:jc w:val="both"/>
              <w:rPr>
                <w:sz w:val="24"/>
                <w:szCs w:val="24"/>
              </w:rPr>
            </w:pPr>
          </w:p>
          <w:p w14:paraId="059DAA3A" w14:textId="4793BD4D" w:rsidR="003E1B5E" w:rsidRPr="003E1B5E" w:rsidRDefault="003E1B5E" w:rsidP="00510542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E1B5E">
              <w:rPr>
                <w:sz w:val="24"/>
                <w:szCs w:val="24"/>
              </w:rPr>
              <w:t>Outros medicamentos que levam a riscos potenciais</w:t>
            </w:r>
            <w:r>
              <w:rPr>
                <w:sz w:val="24"/>
                <w:szCs w:val="24"/>
              </w:rPr>
              <w:t xml:space="preserve">, </w:t>
            </w:r>
            <w:r w:rsidRPr="00EA33D6">
              <w:rPr>
                <w:sz w:val="24"/>
                <w:szCs w:val="24"/>
                <w:u w:val="single"/>
              </w:rPr>
              <w:t>quando prescritos para uso contínuo:</w:t>
            </w:r>
          </w:p>
          <w:p w14:paraId="058BD709" w14:textId="67F046D1" w:rsidR="003E1B5E" w:rsidRPr="00AB2BE8" w:rsidRDefault="003E1B5E" w:rsidP="003E1B5E">
            <w:pPr>
              <w:pStyle w:val="PargrafodaLista"/>
              <w:numPr>
                <w:ilvl w:val="2"/>
                <w:numId w:val="26"/>
              </w:numPr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 xml:space="preserve">Heparina para </w:t>
            </w:r>
            <w:proofErr w:type="spellStart"/>
            <w:r w:rsidRPr="00AB2BE8">
              <w:rPr>
                <w:sz w:val="20"/>
                <w:szCs w:val="20"/>
              </w:rPr>
              <w:t>heparinização</w:t>
            </w:r>
            <w:proofErr w:type="spellEnd"/>
            <w:r w:rsidRPr="00AB2BE8">
              <w:rPr>
                <w:sz w:val="20"/>
                <w:szCs w:val="20"/>
              </w:rPr>
              <w:t xml:space="preserve"> profilática ou plena</w:t>
            </w:r>
            <w:r w:rsidRPr="00AB2BE8">
              <w:rPr>
                <w:sz w:val="20"/>
                <w:szCs w:val="20"/>
                <w:vertAlign w:val="superscript"/>
              </w:rPr>
              <w:t>8</w:t>
            </w:r>
            <w:r w:rsidRPr="00AB2BE8">
              <w:rPr>
                <w:sz w:val="20"/>
                <w:szCs w:val="20"/>
              </w:rPr>
              <w:t xml:space="preserve"> (alto risco para sangramento)</w:t>
            </w:r>
          </w:p>
          <w:p w14:paraId="07D9B3C5" w14:textId="6B8FE54B" w:rsidR="008A5E3B" w:rsidRDefault="008A5E3B" w:rsidP="003E1B5E">
            <w:pPr>
              <w:pStyle w:val="PargrafodaLista"/>
              <w:numPr>
                <w:ilvl w:val="2"/>
                <w:numId w:val="26"/>
              </w:numPr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Alteplase</w:t>
            </w:r>
            <w:proofErr w:type="spellEnd"/>
            <w:r w:rsidRPr="00AB2BE8">
              <w:rPr>
                <w:sz w:val="20"/>
                <w:szCs w:val="20"/>
              </w:rPr>
              <w:t xml:space="preserve"> (</w:t>
            </w:r>
            <w:proofErr w:type="spellStart"/>
            <w:r w:rsidRPr="00AB2BE8">
              <w:rPr>
                <w:sz w:val="20"/>
                <w:szCs w:val="20"/>
              </w:rPr>
              <w:t>Actylise</w:t>
            </w:r>
            <w:r w:rsidR="00510542" w:rsidRPr="00AB2BE8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AB2BE8">
              <w:rPr>
                <w:sz w:val="20"/>
                <w:szCs w:val="20"/>
              </w:rPr>
              <w:t>) pelo risco de sangramento</w:t>
            </w:r>
          </w:p>
          <w:p w14:paraId="0A5C5221" w14:textId="47552D4C" w:rsidR="0097202A" w:rsidRPr="00AB2BE8" w:rsidRDefault="0097202A" w:rsidP="003E1B5E">
            <w:pPr>
              <w:pStyle w:val="PargrafodaLista"/>
              <w:numPr>
                <w:ilvl w:val="2"/>
                <w:numId w:val="26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Atosibano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Tractocile</w:t>
            </w:r>
            <w:r>
              <w:rPr>
                <w:sz w:val="20"/>
                <w:szCs w:val="20"/>
                <w:vertAlign w:val="superscript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), conforme protocolo </w:t>
            </w:r>
            <w:r w:rsidRPr="0056565B">
              <w:rPr>
                <w:rFonts w:cs="Arial"/>
              </w:rPr>
              <w:t>PROT.</w:t>
            </w:r>
            <w:r>
              <w:rPr>
                <w:rFonts w:cs="Arial"/>
              </w:rPr>
              <w:t>DC</w:t>
            </w:r>
            <w:r w:rsidRPr="0056565B">
              <w:rPr>
                <w:rFonts w:cs="Arial"/>
              </w:rPr>
              <w:t>.00</w:t>
            </w:r>
            <w:r>
              <w:rPr>
                <w:rFonts w:cs="Arial"/>
              </w:rPr>
              <w:t>3.01</w:t>
            </w:r>
          </w:p>
          <w:p w14:paraId="21B4DA02" w14:textId="06532851" w:rsidR="003E1B5E" w:rsidRPr="00AB2BE8" w:rsidRDefault="003E1B5E" w:rsidP="003E1B5E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lastRenderedPageBreak/>
              <w:t>Furosemida para quadros de choque ou insuficiência renal (risco de hipotensão e choque se não tiver uso controlado)</w:t>
            </w:r>
          </w:p>
          <w:p w14:paraId="22B79A25" w14:textId="6CE9B57B" w:rsidR="003E1B5E" w:rsidRPr="00AB2BE8" w:rsidRDefault="009A7D60" w:rsidP="003E1B5E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Octreotide</w:t>
            </w:r>
            <w:proofErr w:type="spellEnd"/>
          </w:p>
          <w:p w14:paraId="28B8A901" w14:textId="4624FF9E" w:rsidR="003E1B5E" w:rsidRPr="00AB2BE8" w:rsidRDefault="003E1B5E" w:rsidP="003E1B5E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>Insulina, pelo risco de hipoglicemia</w:t>
            </w:r>
          </w:p>
          <w:p w14:paraId="146FF49A" w14:textId="4423AFDB" w:rsidR="003E1B5E" w:rsidRPr="00AB2BE8" w:rsidRDefault="003E1B5E" w:rsidP="003E1B5E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 xml:space="preserve">Glucagon, pelo risco de hiperglicemia e </w:t>
            </w:r>
            <w:proofErr w:type="spellStart"/>
            <w:r w:rsidRPr="00AB2BE8">
              <w:rPr>
                <w:sz w:val="20"/>
                <w:szCs w:val="20"/>
              </w:rPr>
              <w:t>hiponatremia</w:t>
            </w:r>
            <w:proofErr w:type="spellEnd"/>
          </w:p>
          <w:p w14:paraId="7AA9E3B4" w14:textId="6A9C4AD9" w:rsidR="00070B5C" w:rsidRDefault="009A7D60" w:rsidP="00776FF3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>Ocitocina</w:t>
            </w:r>
            <w:r w:rsidR="00070B5C" w:rsidRPr="00776FF3">
              <w:rPr>
                <w:sz w:val="20"/>
                <w:szCs w:val="20"/>
              </w:rPr>
              <w:t>: justificativas no</w:t>
            </w:r>
            <w:r w:rsidR="00776FF3" w:rsidRPr="00776FF3">
              <w:rPr>
                <w:sz w:val="20"/>
                <w:szCs w:val="20"/>
              </w:rPr>
              <w:t>s</w:t>
            </w:r>
            <w:r w:rsidR="00070B5C" w:rsidRPr="00776FF3">
              <w:rPr>
                <w:sz w:val="20"/>
                <w:szCs w:val="20"/>
              </w:rPr>
              <w:t xml:space="preserve"> protocolo</w:t>
            </w:r>
            <w:r w:rsidR="00776FF3" w:rsidRPr="00776FF3">
              <w:rPr>
                <w:sz w:val="20"/>
                <w:szCs w:val="20"/>
              </w:rPr>
              <w:t>s</w:t>
            </w:r>
            <w:r w:rsidR="00070B5C" w:rsidRPr="00776FF3">
              <w:rPr>
                <w:sz w:val="20"/>
                <w:szCs w:val="20"/>
              </w:rPr>
              <w:t xml:space="preserve"> </w:t>
            </w:r>
            <w:r w:rsidR="00776FF3" w:rsidRPr="00776FF3">
              <w:rPr>
                <w:sz w:val="20"/>
                <w:szCs w:val="20"/>
              </w:rPr>
              <w:t>(</w:t>
            </w:r>
            <w:r w:rsidR="00070B5C" w:rsidRPr="00776FF3">
              <w:rPr>
                <w:sz w:val="20"/>
                <w:szCs w:val="20"/>
              </w:rPr>
              <w:t>PROT.DT.</w:t>
            </w:r>
            <w:r w:rsidR="00776FF3" w:rsidRPr="00776FF3">
              <w:rPr>
                <w:sz w:val="20"/>
                <w:szCs w:val="20"/>
              </w:rPr>
              <w:t>028) - INDUÇÃO DO PARTO</w:t>
            </w:r>
            <w:r w:rsidR="00070B5C" w:rsidRPr="00776FF3">
              <w:rPr>
                <w:sz w:val="20"/>
                <w:szCs w:val="20"/>
              </w:rPr>
              <w:t xml:space="preserve"> e</w:t>
            </w:r>
            <w:r w:rsidR="00776FF3" w:rsidRPr="00776FF3">
              <w:rPr>
                <w:sz w:val="20"/>
                <w:szCs w:val="20"/>
              </w:rPr>
              <w:t xml:space="preserve"> (PROT.DT.030) - HEMORRAGIA PÓS-PARTO (HPP) - PREVENÇÃO E TRATAMENTO</w:t>
            </w:r>
          </w:p>
          <w:p w14:paraId="6D12D02F" w14:textId="16E562F1" w:rsidR="008A5E3B" w:rsidRDefault="001A2140" w:rsidP="00070B5C">
            <w:pPr>
              <w:pStyle w:val="PargrafodaLista"/>
              <w:numPr>
                <w:ilvl w:val="3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 xml:space="preserve"> </w:t>
            </w:r>
            <w:proofErr w:type="gramStart"/>
            <w:r w:rsidRPr="00AB2BE8">
              <w:rPr>
                <w:sz w:val="20"/>
                <w:szCs w:val="20"/>
              </w:rPr>
              <w:t>para</w:t>
            </w:r>
            <w:proofErr w:type="gramEnd"/>
            <w:r w:rsidRPr="00AB2BE8">
              <w:rPr>
                <w:sz w:val="20"/>
                <w:szCs w:val="20"/>
              </w:rPr>
              <w:t xml:space="preserve"> indução em uso </w:t>
            </w:r>
            <w:r w:rsidR="00EA33D6" w:rsidRPr="00AB2BE8">
              <w:rPr>
                <w:sz w:val="20"/>
                <w:szCs w:val="20"/>
              </w:rPr>
              <w:t xml:space="preserve">contínuo </w:t>
            </w:r>
          </w:p>
          <w:p w14:paraId="489D77E3" w14:textId="2DFF5B9C" w:rsidR="00070B5C" w:rsidRPr="00AB2BE8" w:rsidRDefault="00070B5C" w:rsidP="00070B5C">
            <w:pPr>
              <w:pStyle w:val="PargrafodaLista"/>
              <w:numPr>
                <w:ilvl w:val="3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para</w:t>
            </w:r>
            <w:proofErr w:type="gramEnd"/>
            <w:r>
              <w:rPr>
                <w:sz w:val="20"/>
                <w:szCs w:val="20"/>
              </w:rPr>
              <w:t xml:space="preserve"> manejo da hemorragia obstétrica devido ao uso de altas doses na fase aguda</w:t>
            </w:r>
          </w:p>
          <w:p w14:paraId="32702A1D" w14:textId="164D8FAA" w:rsidR="008A5E3B" w:rsidRPr="00AB2BE8" w:rsidRDefault="008A5E3B" w:rsidP="008A5E3B">
            <w:pPr>
              <w:pStyle w:val="PargrafodaLista"/>
              <w:numPr>
                <w:ilvl w:val="2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>Infusão de eletrólitos potencialmente arritmogênicos ou causadores de alteração em sistema nervoso central:</w:t>
            </w:r>
          </w:p>
          <w:p w14:paraId="388D209C" w14:textId="76AC4882" w:rsidR="008A5E3B" w:rsidRPr="00AB2BE8" w:rsidRDefault="008A5E3B" w:rsidP="008A5E3B">
            <w:pPr>
              <w:pStyle w:val="PargrafodaLista"/>
              <w:numPr>
                <w:ilvl w:val="3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 xml:space="preserve">Soluções contendo potássio em altas concentrações (&gt; 50 </w:t>
            </w:r>
            <w:proofErr w:type="spellStart"/>
            <w:r w:rsidRPr="00AB2BE8">
              <w:rPr>
                <w:sz w:val="20"/>
                <w:szCs w:val="20"/>
              </w:rPr>
              <w:t>mEQ</w:t>
            </w:r>
            <w:proofErr w:type="spellEnd"/>
            <w:r w:rsidRPr="00AB2BE8">
              <w:rPr>
                <w:sz w:val="20"/>
                <w:szCs w:val="20"/>
              </w:rPr>
              <w:t>/L)</w:t>
            </w:r>
          </w:p>
          <w:p w14:paraId="4A669F9B" w14:textId="03894118" w:rsidR="008A5E3B" w:rsidRPr="00AB2BE8" w:rsidRDefault="008A5E3B" w:rsidP="008A5E3B">
            <w:pPr>
              <w:pStyle w:val="PargrafodaLista"/>
              <w:numPr>
                <w:ilvl w:val="3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>Soluções contendo sódio em altas concentrações (</w:t>
            </w:r>
            <w:r w:rsidR="003372DA" w:rsidRPr="00AB2BE8">
              <w:rPr>
                <w:sz w:val="20"/>
                <w:szCs w:val="20"/>
              </w:rPr>
              <w:t xml:space="preserve">ex.: </w:t>
            </w:r>
            <w:proofErr w:type="spellStart"/>
            <w:r w:rsidRPr="00AB2BE8">
              <w:rPr>
                <w:sz w:val="20"/>
                <w:szCs w:val="20"/>
              </w:rPr>
              <w:t>NaCl</w:t>
            </w:r>
            <w:proofErr w:type="spellEnd"/>
            <w:r w:rsidRPr="00AB2BE8">
              <w:rPr>
                <w:sz w:val="20"/>
                <w:szCs w:val="20"/>
              </w:rPr>
              <w:t xml:space="preserve"> 3%)</w:t>
            </w:r>
          </w:p>
          <w:p w14:paraId="04D9A6BB" w14:textId="1D9ED217" w:rsidR="008A5E3B" w:rsidRPr="00AB2BE8" w:rsidRDefault="008A5E3B" w:rsidP="008A5E3B">
            <w:pPr>
              <w:pStyle w:val="PargrafodaLista"/>
              <w:numPr>
                <w:ilvl w:val="3"/>
                <w:numId w:val="2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>Soluções contendo magnésio em altas concentrações</w:t>
            </w:r>
          </w:p>
          <w:p w14:paraId="70EE70A7" w14:textId="77777777" w:rsidR="004B0F8D" w:rsidRDefault="004B0F8D" w:rsidP="004B0F8D">
            <w:pPr>
              <w:pStyle w:val="PargrafodaLista"/>
              <w:spacing w:after="0" w:line="240" w:lineRule="auto"/>
              <w:ind w:left="3228"/>
              <w:jc w:val="both"/>
              <w:rPr>
                <w:sz w:val="24"/>
                <w:szCs w:val="24"/>
              </w:rPr>
            </w:pPr>
          </w:p>
          <w:p w14:paraId="41CA3AE6" w14:textId="73EFE67F" w:rsidR="002D0FFE" w:rsidRPr="008A5E3B" w:rsidRDefault="002D0FFE" w:rsidP="004B0F8D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Solução Fisiológica em quadros de choque, onde exista a necessidade de infusão de grandes quantidades de volume (ex.: 2 litros em 1 hora)</w:t>
            </w:r>
          </w:p>
          <w:p w14:paraId="40FD00ED" w14:textId="77777777" w:rsidR="003E1B5E" w:rsidRDefault="003E1B5E" w:rsidP="003E1B5E">
            <w:pPr>
              <w:pStyle w:val="PargrafodaLista"/>
              <w:spacing w:after="0" w:line="240" w:lineRule="auto"/>
              <w:ind w:left="1788"/>
              <w:jc w:val="both"/>
              <w:rPr>
                <w:sz w:val="24"/>
                <w:szCs w:val="24"/>
              </w:rPr>
            </w:pPr>
          </w:p>
          <w:p w14:paraId="004419A6" w14:textId="4E3D51C7" w:rsidR="00600807" w:rsidRDefault="00D40569" w:rsidP="00600807">
            <w:pPr>
              <w:pStyle w:val="PargrafodaLista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D40569">
              <w:rPr>
                <w:sz w:val="24"/>
                <w:szCs w:val="24"/>
              </w:rPr>
              <w:t>Antibióticos sistêmicos</w:t>
            </w:r>
            <w:r>
              <w:rPr>
                <w:sz w:val="24"/>
                <w:szCs w:val="24"/>
              </w:rPr>
              <w:t xml:space="preserve"> que requerem controle estrito da velocidade de infusão (pelo </w:t>
            </w:r>
            <w:r w:rsidRPr="00D40569">
              <w:rPr>
                <w:sz w:val="24"/>
                <w:szCs w:val="24"/>
              </w:rPr>
              <w:t>risco de lesão renal se administrados na velocidade de infusão errada</w:t>
            </w:r>
            <w:r w:rsidR="00600807">
              <w:rPr>
                <w:sz w:val="24"/>
                <w:szCs w:val="24"/>
              </w:rPr>
              <w:t xml:space="preserve"> ou pelo risco de provocarem arritmia ou risco de reações anafiláticas, conforme riscos apontados na bula do produto). Definimos que os medicamentos de maior risco são aqueles onde a infusão controlada deve ser superior a 1 hora de administração</w:t>
            </w:r>
            <w:r w:rsidR="00600807">
              <w:rPr>
                <w:sz w:val="24"/>
                <w:szCs w:val="24"/>
                <w:vertAlign w:val="superscript"/>
              </w:rPr>
              <w:t>7</w:t>
            </w:r>
            <w:r w:rsidR="00600807">
              <w:rPr>
                <w:sz w:val="24"/>
                <w:szCs w:val="24"/>
              </w:rPr>
              <w:t>. São eles:</w:t>
            </w:r>
          </w:p>
          <w:p w14:paraId="4D82E1CC" w14:textId="5B9EEF06" w:rsidR="00600807" w:rsidRPr="00AB2BE8" w:rsidRDefault="00600807" w:rsidP="00600807">
            <w:pPr>
              <w:pStyle w:val="PargrafodaLista"/>
              <w:numPr>
                <w:ilvl w:val="1"/>
                <w:numId w:val="26"/>
              </w:numPr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A</w:t>
            </w:r>
            <w:r w:rsidR="00D40569" w:rsidRPr="00AB2BE8">
              <w:rPr>
                <w:sz w:val="20"/>
                <w:szCs w:val="20"/>
              </w:rPr>
              <w:t>nfotericina</w:t>
            </w:r>
            <w:proofErr w:type="spellEnd"/>
            <w:r w:rsidR="00D40569" w:rsidRPr="00AB2BE8">
              <w:rPr>
                <w:sz w:val="20"/>
                <w:szCs w:val="20"/>
              </w:rPr>
              <w:t xml:space="preserve"> B</w:t>
            </w:r>
            <w:r w:rsidRPr="00AB2BE8">
              <w:rPr>
                <w:sz w:val="20"/>
                <w:szCs w:val="20"/>
              </w:rPr>
              <w:t xml:space="preserve"> (</w:t>
            </w:r>
            <w:proofErr w:type="spellStart"/>
            <w:r w:rsidRPr="00AB2BE8">
              <w:rPr>
                <w:sz w:val="20"/>
                <w:szCs w:val="20"/>
              </w:rPr>
              <w:t>Anforicin</w:t>
            </w:r>
            <w:r w:rsidR="004B0F8D" w:rsidRPr="00AB2BE8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Pr="00AB2BE8">
              <w:rPr>
                <w:sz w:val="20"/>
                <w:szCs w:val="20"/>
              </w:rPr>
              <w:t xml:space="preserve">) ou </w:t>
            </w:r>
            <w:proofErr w:type="spellStart"/>
            <w:r w:rsidRPr="00AB2BE8">
              <w:rPr>
                <w:sz w:val="20"/>
                <w:szCs w:val="20"/>
              </w:rPr>
              <w:t>lipossomal</w:t>
            </w:r>
            <w:proofErr w:type="spellEnd"/>
            <w:r w:rsidR="004B0F8D" w:rsidRPr="00AB2BE8">
              <w:rPr>
                <w:sz w:val="20"/>
                <w:szCs w:val="20"/>
              </w:rPr>
              <w:t xml:space="preserve"> (</w:t>
            </w:r>
            <w:proofErr w:type="spellStart"/>
            <w:r w:rsidR="004B0F8D" w:rsidRPr="00AB2BE8">
              <w:rPr>
                <w:sz w:val="20"/>
                <w:szCs w:val="20"/>
              </w:rPr>
              <w:t>Ambisome</w:t>
            </w:r>
            <w:r w:rsidR="004B0F8D" w:rsidRPr="00AB2BE8">
              <w:rPr>
                <w:sz w:val="20"/>
                <w:szCs w:val="20"/>
                <w:vertAlign w:val="superscript"/>
              </w:rPr>
              <w:t>R</w:t>
            </w:r>
            <w:proofErr w:type="spellEnd"/>
            <w:r w:rsidR="004B0F8D" w:rsidRPr="00AB2BE8">
              <w:rPr>
                <w:sz w:val="20"/>
                <w:szCs w:val="20"/>
              </w:rPr>
              <w:t>)</w:t>
            </w:r>
            <w:r w:rsidRPr="00AB2BE8">
              <w:rPr>
                <w:sz w:val="20"/>
                <w:szCs w:val="20"/>
              </w:rPr>
              <w:t>;</w:t>
            </w:r>
          </w:p>
          <w:p w14:paraId="6671290B" w14:textId="56364F23" w:rsidR="00600807" w:rsidRPr="00AB2BE8" w:rsidRDefault="00600807" w:rsidP="00600807">
            <w:pPr>
              <w:pStyle w:val="PargrafodaLista"/>
              <w:numPr>
                <w:ilvl w:val="1"/>
                <w:numId w:val="26"/>
              </w:numPr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Aminoglicosídeos</w:t>
            </w:r>
            <w:proofErr w:type="spellEnd"/>
            <w:r w:rsidRPr="00AB2BE8">
              <w:rPr>
                <w:sz w:val="20"/>
                <w:szCs w:val="20"/>
              </w:rPr>
              <w:t xml:space="preserve">: Gentamicina e </w:t>
            </w:r>
            <w:proofErr w:type="spellStart"/>
            <w:r w:rsidRPr="00AB2BE8">
              <w:rPr>
                <w:sz w:val="20"/>
                <w:szCs w:val="20"/>
              </w:rPr>
              <w:t>A</w:t>
            </w:r>
            <w:r w:rsidR="00D40569" w:rsidRPr="00AB2BE8">
              <w:rPr>
                <w:sz w:val="20"/>
                <w:szCs w:val="20"/>
              </w:rPr>
              <w:t>micacina</w:t>
            </w:r>
            <w:proofErr w:type="spellEnd"/>
          </w:p>
          <w:p w14:paraId="3C26DD0C" w14:textId="24A0A3B0" w:rsidR="00600807" w:rsidRPr="00AB2BE8" w:rsidRDefault="00600807" w:rsidP="00600807">
            <w:pPr>
              <w:pStyle w:val="PargrafodaLista"/>
              <w:numPr>
                <w:ilvl w:val="1"/>
                <w:numId w:val="26"/>
              </w:numPr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 xml:space="preserve">Antivirais: </w:t>
            </w:r>
            <w:proofErr w:type="spellStart"/>
            <w:r w:rsidRPr="00AB2BE8">
              <w:rPr>
                <w:sz w:val="20"/>
                <w:szCs w:val="20"/>
              </w:rPr>
              <w:t>Aciclovir</w:t>
            </w:r>
            <w:proofErr w:type="spellEnd"/>
            <w:r w:rsidRPr="00AB2BE8">
              <w:rPr>
                <w:sz w:val="20"/>
                <w:szCs w:val="20"/>
              </w:rPr>
              <w:t xml:space="preserve">, Zidovudina, </w:t>
            </w:r>
            <w:proofErr w:type="spellStart"/>
            <w:r w:rsidRPr="00AB2BE8">
              <w:rPr>
                <w:sz w:val="20"/>
                <w:szCs w:val="20"/>
              </w:rPr>
              <w:t>Ganciclovir</w:t>
            </w:r>
            <w:proofErr w:type="spellEnd"/>
          </w:p>
          <w:p w14:paraId="025225BA" w14:textId="014DFC4D" w:rsidR="00600807" w:rsidRPr="00AB2BE8" w:rsidRDefault="00600807" w:rsidP="00600807">
            <w:pPr>
              <w:pStyle w:val="PargrafodaLista"/>
              <w:numPr>
                <w:ilvl w:val="1"/>
                <w:numId w:val="26"/>
              </w:numPr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Macrolídeos</w:t>
            </w:r>
            <w:proofErr w:type="spellEnd"/>
            <w:r w:rsidRPr="00AB2BE8">
              <w:rPr>
                <w:sz w:val="20"/>
                <w:szCs w:val="20"/>
              </w:rPr>
              <w:t xml:space="preserve"> (risco </w:t>
            </w:r>
            <w:r w:rsidR="004B0F8D" w:rsidRPr="00AB2BE8">
              <w:rPr>
                <w:sz w:val="20"/>
                <w:szCs w:val="20"/>
              </w:rPr>
              <w:t xml:space="preserve">de arritmias): </w:t>
            </w:r>
            <w:proofErr w:type="spellStart"/>
            <w:r w:rsidR="004B0F8D" w:rsidRPr="00AB2BE8">
              <w:rPr>
                <w:sz w:val="20"/>
                <w:szCs w:val="20"/>
              </w:rPr>
              <w:t>Azitromicina</w:t>
            </w:r>
            <w:proofErr w:type="spellEnd"/>
            <w:r w:rsidR="004B0F8D" w:rsidRPr="00AB2BE8">
              <w:rPr>
                <w:sz w:val="20"/>
                <w:szCs w:val="20"/>
              </w:rPr>
              <w:t xml:space="preserve"> ou </w:t>
            </w:r>
            <w:proofErr w:type="spellStart"/>
            <w:r w:rsidR="004B0F8D" w:rsidRPr="00AB2BE8">
              <w:rPr>
                <w:sz w:val="20"/>
                <w:szCs w:val="20"/>
              </w:rPr>
              <w:t>C</w:t>
            </w:r>
            <w:r w:rsidRPr="00AB2BE8">
              <w:rPr>
                <w:sz w:val="20"/>
                <w:szCs w:val="20"/>
              </w:rPr>
              <w:t>laritromicina</w:t>
            </w:r>
            <w:proofErr w:type="spellEnd"/>
          </w:p>
          <w:p w14:paraId="2950DD20" w14:textId="625E300D" w:rsidR="00600807" w:rsidRPr="00AB2BE8" w:rsidRDefault="00600807" w:rsidP="00600807">
            <w:pPr>
              <w:pStyle w:val="PargrafodaLista"/>
              <w:numPr>
                <w:ilvl w:val="1"/>
                <w:numId w:val="26"/>
              </w:numPr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Quinolonas</w:t>
            </w:r>
            <w:proofErr w:type="spellEnd"/>
            <w:r w:rsidRPr="00AB2BE8">
              <w:rPr>
                <w:sz w:val="20"/>
                <w:szCs w:val="20"/>
              </w:rPr>
              <w:t xml:space="preserve">: </w:t>
            </w:r>
            <w:proofErr w:type="spellStart"/>
            <w:r w:rsidRPr="00AB2BE8">
              <w:rPr>
                <w:sz w:val="20"/>
                <w:szCs w:val="20"/>
              </w:rPr>
              <w:t>Ciprofloxacino</w:t>
            </w:r>
            <w:proofErr w:type="spellEnd"/>
            <w:r w:rsidRPr="00AB2BE8">
              <w:rPr>
                <w:sz w:val="20"/>
                <w:szCs w:val="20"/>
              </w:rPr>
              <w:t xml:space="preserve"> ou </w:t>
            </w:r>
            <w:proofErr w:type="spellStart"/>
            <w:r w:rsidRPr="00AB2BE8">
              <w:rPr>
                <w:sz w:val="20"/>
                <w:szCs w:val="20"/>
              </w:rPr>
              <w:t>Levofloxacino</w:t>
            </w:r>
            <w:proofErr w:type="spellEnd"/>
          </w:p>
          <w:p w14:paraId="5C8EEC5F" w14:textId="77777777" w:rsidR="00600807" w:rsidRPr="00AB2BE8" w:rsidRDefault="00600807" w:rsidP="00600807">
            <w:pPr>
              <w:pStyle w:val="PargrafodaLista"/>
              <w:numPr>
                <w:ilvl w:val="1"/>
                <w:numId w:val="26"/>
              </w:numPr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Metronidazol</w:t>
            </w:r>
            <w:proofErr w:type="spellEnd"/>
          </w:p>
          <w:p w14:paraId="448A9B0B" w14:textId="77777777" w:rsidR="00600807" w:rsidRPr="00AB2BE8" w:rsidRDefault="00600807" w:rsidP="00600807">
            <w:pPr>
              <w:pStyle w:val="PargrafodaLista"/>
              <w:numPr>
                <w:ilvl w:val="1"/>
                <w:numId w:val="26"/>
              </w:numPr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Polimixina</w:t>
            </w:r>
            <w:proofErr w:type="spellEnd"/>
            <w:r w:rsidRPr="00AB2BE8">
              <w:rPr>
                <w:sz w:val="20"/>
                <w:szCs w:val="20"/>
              </w:rPr>
              <w:t xml:space="preserve"> B</w:t>
            </w:r>
          </w:p>
          <w:p w14:paraId="0EAAD2E4" w14:textId="77777777" w:rsidR="00600807" w:rsidRPr="00AB2BE8" w:rsidRDefault="00600807" w:rsidP="00600807">
            <w:pPr>
              <w:pStyle w:val="PargrafodaLista"/>
              <w:numPr>
                <w:ilvl w:val="1"/>
                <w:numId w:val="26"/>
              </w:numPr>
              <w:jc w:val="both"/>
              <w:rPr>
                <w:sz w:val="20"/>
                <w:szCs w:val="20"/>
              </w:rPr>
            </w:pPr>
            <w:r w:rsidRPr="00AB2BE8">
              <w:rPr>
                <w:sz w:val="20"/>
                <w:szCs w:val="20"/>
              </w:rPr>
              <w:t>Vancomicina</w:t>
            </w:r>
          </w:p>
          <w:p w14:paraId="243C7E18" w14:textId="0457526E" w:rsidR="003E1B5E" w:rsidRPr="00AB2BE8" w:rsidRDefault="00600807" w:rsidP="008A5E3B">
            <w:pPr>
              <w:pStyle w:val="PargrafodaLista"/>
              <w:numPr>
                <w:ilvl w:val="1"/>
                <w:numId w:val="26"/>
              </w:numPr>
              <w:jc w:val="both"/>
              <w:rPr>
                <w:sz w:val="20"/>
                <w:szCs w:val="20"/>
              </w:rPr>
            </w:pPr>
            <w:proofErr w:type="spellStart"/>
            <w:r w:rsidRPr="00AB2BE8">
              <w:rPr>
                <w:sz w:val="20"/>
                <w:szCs w:val="20"/>
              </w:rPr>
              <w:t>S</w:t>
            </w:r>
            <w:r w:rsidR="00D40569" w:rsidRPr="00AB2BE8">
              <w:rPr>
                <w:sz w:val="20"/>
                <w:szCs w:val="20"/>
              </w:rPr>
              <w:t>ulfametoxazol</w:t>
            </w:r>
            <w:proofErr w:type="spellEnd"/>
            <w:r w:rsidR="00D40569" w:rsidRPr="00AB2BE8">
              <w:rPr>
                <w:sz w:val="20"/>
                <w:szCs w:val="20"/>
              </w:rPr>
              <w:t xml:space="preserve"> + </w:t>
            </w:r>
            <w:proofErr w:type="spellStart"/>
            <w:r w:rsidR="00D40569" w:rsidRPr="00AB2BE8">
              <w:rPr>
                <w:sz w:val="20"/>
                <w:szCs w:val="20"/>
              </w:rPr>
              <w:t>trimetropim</w:t>
            </w:r>
            <w:proofErr w:type="spellEnd"/>
          </w:p>
          <w:p w14:paraId="1FCE1D00" w14:textId="1BA5E353" w:rsidR="00D40569" w:rsidRPr="009A7D60" w:rsidRDefault="00D40569" w:rsidP="003E6510">
            <w:pPr>
              <w:pStyle w:val="PargrafodaLista"/>
              <w:spacing w:after="0" w:line="240" w:lineRule="auto"/>
              <w:ind w:left="1068"/>
              <w:jc w:val="both"/>
              <w:rPr>
                <w:sz w:val="24"/>
                <w:szCs w:val="24"/>
              </w:rPr>
            </w:pPr>
          </w:p>
          <w:p w14:paraId="64CB64C7" w14:textId="6BFD9D87" w:rsidR="00D40569" w:rsidRDefault="004B0F8D" w:rsidP="0021630D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Neonat</w:t>
            </w:r>
            <w:r w:rsidR="00D40569">
              <w:rPr>
                <w:sz w:val="24"/>
                <w:szCs w:val="24"/>
              </w:rPr>
              <w:t xml:space="preserve">ologia: UTIN – devido às mínimas quantidades administradas, sendo impossível o controle por gotejamento, </w:t>
            </w:r>
            <w:r>
              <w:rPr>
                <w:sz w:val="24"/>
                <w:szCs w:val="24"/>
              </w:rPr>
              <w:t>será feito</w:t>
            </w:r>
            <w:r w:rsidR="00D40569">
              <w:rPr>
                <w:sz w:val="24"/>
                <w:szCs w:val="24"/>
              </w:rPr>
              <w:t xml:space="preserve"> uso de bomba</w:t>
            </w:r>
            <w:r>
              <w:rPr>
                <w:sz w:val="24"/>
                <w:szCs w:val="24"/>
              </w:rPr>
              <w:t>s</w:t>
            </w:r>
            <w:r w:rsidR="00D40569">
              <w:rPr>
                <w:sz w:val="24"/>
                <w:szCs w:val="24"/>
              </w:rPr>
              <w:t xml:space="preserve"> de infusão</w:t>
            </w:r>
            <w:r>
              <w:rPr>
                <w:sz w:val="24"/>
                <w:szCs w:val="24"/>
              </w:rPr>
              <w:t xml:space="preserve"> comum ou bombas de</w:t>
            </w:r>
            <w:r w:rsidR="00D40569">
              <w:rPr>
                <w:sz w:val="24"/>
                <w:szCs w:val="24"/>
              </w:rPr>
              <w:t xml:space="preserve"> seringa</w:t>
            </w:r>
            <w:r>
              <w:rPr>
                <w:sz w:val="24"/>
                <w:szCs w:val="24"/>
              </w:rPr>
              <w:t>, a depender do volume necessário,</w:t>
            </w:r>
            <w:r w:rsidR="00D40569">
              <w:rPr>
                <w:sz w:val="24"/>
                <w:szCs w:val="24"/>
              </w:rPr>
              <w:t xml:space="preserve"> conforme prescrição médica:</w:t>
            </w:r>
          </w:p>
          <w:p w14:paraId="0D49EDB0" w14:textId="77777777" w:rsidR="004B0F8D" w:rsidRDefault="004B0F8D" w:rsidP="004B0F8D">
            <w:pPr>
              <w:pStyle w:val="PargrafodaLista"/>
              <w:numPr>
                <w:ilvl w:val="1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Soroterapia</w:t>
            </w:r>
          </w:p>
          <w:p w14:paraId="1D1E8185" w14:textId="47F1E3EE" w:rsidR="00D40569" w:rsidRPr="004B0F8D" w:rsidRDefault="00D40569" w:rsidP="004B0F8D">
            <w:pPr>
              <w:pStyle w:val="PargrafodaLista"/>
              <w:numPr>
                <w:ilvl w:val="1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4B0F8D">
              <w:rPr>
                <w:sz w:val="24"/>
                <w:szCs w:val="24"/>
              </w:rPr>
              <w:t>Nutrição Parenteral</w:t>
            </w:r>
          </w:p>
          <w:p w14:paraId="09C20157" w14:textId="507B923D" w:rsidR="00D40569" w:rsidRDefault="00D40569" w:rsidP="00D40569">
            <w:pPr>
              <w:pStyle w:val="PargrafodaLista"/>
              <w:numPr>
                <w:ilvl w:val="1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Todos os antibióticos venosos que não podem ser feitos em </w:t>
            </w:r>
            <w:proofErr w:type="spellStart"/>
            <w:r>
              <w:rPr>
                <w:sz w:val="24"/>
                <w:szCs w:val="24"/>
              </w:rPr>
              <w:t>bolus</w:t>
            </w:r>
            <w:proofErr w:type="spellEnd"/>
          </w:p>
          <w:p w14:paraId="53121156" w14:textId="441091FC" w:rsidR="008A5E3B" w:rsidRPr="008A5E3B" w:rsidRDefault="00D40569" w:rsidP="008A5E3B">
            <w:pPr>
              <w:pStyle w:val="PargrafodaLista"/>
              <w:numPr>
                <w:ilvl w:val="1"/>
                <w:numId w:val="2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Todos os medicamentos que necessitem infusão lenta e não puderem ser administrados em </w:t>
            </w:r>
            <w:proofErr w:type="spellStart"/>
            <w:r>
              <w:rPr>
                <w:sz w:val="24"/>
                <w:szCs w:val="24"/>
              </w:rPr>
              <w:t>bolus</w:t>
            </w:r>
            <w:proofErr w:type="spellEnd"/>
            <w:r w:rsidR="004B0F8D">
              <w:rPr>
                <w:sz w:val="24"/>
                <w:szCs w:val="24"/>
              </w:rPr>
              <w:t>.</w:t>
            </w:r>
          </w:p>
        </w:tc>
      </w:tr>
      <w:tr w:rsidR="00520D2A" w:rsidRPr="00520D2A" w14:paraId="72675228" w14:textId="77777777" w:rsidTr="00520D2A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48FB793F" w14:textId="648E6F0E" w:rsidR="00520D2A" w:rsidRPr="00520D2A" w:rsidRDefault="004B0F8D" w:rsidP="00520D2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QUAL O EQUIPAMENTO SERÁ UTILIZADO?</w:t>
            </w:r>
          </w:p>
        </w:tc>
      </w:tr>
      <w:tr w:rsidR="00520D2A" w14:paraId="06FC8970" w14:textId="77777777" w:rsidTr="001B4D68">
        <w:trPr>
          <w:trHeight w:val="243"/>
        </w:trPr>
        <w:tc>
          <w:tcPr>
            <w:tcW w:w="9061" w:type="dxa"/>
            <w:gridSpan w:val="2"/>
          </w:tcPr>
          <w:p w14:paraId="0A129C22" w14:textId="3092C019" w:rsidR="00520D2A" w:rsidRPr="00E950E4" w:rsidRDefault="00FF1535" w:rsidP="00FF1535">
            <w:pPr>
              <w:pStyle w:val="PargrafodaLista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</w:t>
            </w:r>
            <w:r w:rsidR="00B17197">
              <w:rPr>
                <w:sz w:val="24"/>
                <w:szCs w:val="24"/>
              </w:rPr>
              <w:t>Em nosso hospital, utilizaremos a bomba para infusão volumétrica (</w:t>
            </w:r>
            <w:proofErr w:type="spellStart"/>
            <w:r w:rsidR="00B17197">
              <w:rPr>
                <w:sz w:val="24"/>
                <w:szCs w:val="24"/>
              </w:rPr>
              <w:t>Infusomat</w:t>
            </w:r>
            <w:proofErr w:type="spellEnd"/>
            <w:r w:rsidR="00B17197">
              <w:rPr>
                <w:sz w:val="24"/>
                <w:szCs w:val="24"/>
              </w:rPr>
              <w:t xml:space="preserve"> Space</w:t>
            </w:r>
            <w:r>
              <w:rPr>
                <w:sz w:val="24"/>
                <w:szCs w:val="24"/>
              </w:rPr>
              <w:t xml:space="preserve"> ou </w:t>
            </w:r>
            <w:proofErr w:type="spellStart"/>
            <w:r>
              <w:rPr>
                <w:sz w:val="24"/>
                <w:szCs w:val="24"/>
              </w:rPr>
              <w:t>Compac</w:t>
            </w:r>
            <w:r w:rsidR="00B17197">
              <w:rPr>
                <w:sz w:val="24"/>
                <w:szCs w:val="24"/>
                <w:vertAlign w:val="superscript"/>
              </w:rPr>
              <w:t>R</w:t>
            </w:r>
            <w:proofErr w:type="spellEnd"/>
            <w:r w:rsidR="00B17197">
              <w:rPr>
                <w:sz w:val="24"/>
                <w:szCs w:val="24"/>
              </w:rPr>
              <w:t xml:space="preserve"> – B. </w:t>
            </w:r>
            <w:proofErr w:type="spellStart"/>
            <w:r w:rsidR="00B17197">
              <w:rPr>
                <w:sz w:val="24"/>
                <w:szCs w:val="24"/>
              </w:rPr>
              <w:t>B</w:t>
            </w:r>
            <w:r w:rsidR="00D26B00">
              <w:rPr>
                <w:sz w:val="24"/>
                <w:szCs w:val="24"/>
              </w:rPr>
              <w:t>raun</w:t>
            </w:r>
            <w:proofErr w:type="spellEnd"/>
            <w:r w:rsidR="00B17197">
              <w:rPr>
                <w:sz w:val="24"/>
                <w:szCs w:val="24"/>
              </w:rPr>
              <w:t xml:space="preserve">) que trabalha com peristaltismo linear e são recomendadas pelo próprio fabricante </w:t>
            </w:r>
            <w:r w:rsidR="004B0F8D">
              <w:rPr>
                <w:sz w:val="24"/>
                <w:szCs w:val="24"/>
              </w:rPr>
              <w:t xml:space="preserve">para uso com </w:t>
            </w:r>
            <w:proofErr w:type="spellStart"/>
            <w:r w:rsidR="004B0F8D">
              <w:rPr>
                <w:sz w:val="24"/>
                <w:szCs w:val="24"/>
              </w:rPr>
              <w:t>equipos</w:t>
            </w:r>
            <w:proofErr w:type="spellEnd"/>
            <w:r w:rsidR="004B0F8D">
              <w:rPr>
                <w:sz w:val="24"/>
                <w:szCs w:val="24"/>
              </w:rPr>
              <w:t xml:space="preserve"> específicos da marca apropridados.</w:t>
            </w:r>
            <w:r w:rsidR="00B17197">
              <w:rPr>
                <w:sz w:val="24"/>
                <w:szCs w:val="24"/>
                <w:vertAlign w:val="superscript"/>
              </w:rPr>
              <w:t>4</w:t>
            </w:r>
            <w:r w:rsidR="00E950E4">
              <w:rPr>
                <w:sz w:val="24"/>
                <w:szCs w:val="24"/>
              </w:rPr>
              <w:t xml:space="preserve"> </w:t>
            </w:r>
          </w:p>
        </w:tc>
      </w:tr>
      <w:tr w:rsidR="00460545" w:rsidRPr="00460545" w14:paraId="6B2FBF64" w14:textId="77777777" w:rsidTr="00460545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2328B18A" w14:textId="2DEE6681" w:rsidR="00460545" w:rsidRPr="00460545" w:rsidRDefault="00460545" w:rsidP="007B2C4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QUAIS OS CUIDADOS </w:t>
            </w:r>
            <w:r w:rsidR="007B2C46">
              <w:rPr>
                <w:b/>
                <w:sz w:val="24"/>
                <w:szCs w:val="24"/>
              </w:rPr>
              <w:t>AO USAR A BOMBA DE INFUSÃO?</w:t>
            </w:r>
          </w:p>
        </w:tc>
      </w:tr>
      <w:tr w:rsidR="00460545" w14:paraId="5D29531A" w14:textId="77777777" w:rsidTr="001B4D68">
        <w:trPr>
          <w:trHeight w:val="243"/>
        </w:trPr>
        <w:tc>
          <w:tcPr>
            <w:tcW w:w="9061" w:type="dxa"/>
            <w:gridSpan w:val="2"/>
          </w:tcPr>
          <w:p w14:paraId="6E3AB471" w14:textId="216FF675" w:rsidR="00460545" w:rsidRPr="00460545" w:rsidRDefault="00BD4E99" w:rsidP="00BD4E99">
            <w:pPr>
              <w:pStyle w:val="PargrafodaLista"/>
              <w:spacing w:after="0" w:line="240" w:lineRule="auto"/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Seguir as recomendações do protocolo específico (POP.GERENF.002)</w:t>
            </w:r>
            <w:r w:rsidR="00BD420F">
              <w:rPr>
                <w:sz w:val="24"/>
                <w:szCs w:val="24"/>
              </w:rPr>
              <w:t xml:space="preserve"> - I</w:t>
            </w:r>
            <w:r w:rsidR="00BD420F" w:rsidRPr="00BD420F">
              <w:rPr>
                <w:sz w:val="24"/>
                <w:szCs w:val="24"/>
              </w:rPr>
              <w:t>nstalação de bomba de infusão contínua</w:t>
            </w:r>
            <w:r w:rsidR="00BD420F">
              <w:rPr>
                <w:sz w:val="24"/>
                <w:szCs w:val="24"/>
              </w:rPr>
              <w:t xml:space="preserve">. </w:t>
            </w:r>
          </w:p>
        </w:tc>
      </w:tr>
      <w:tr w:rsidR="00520D2A" w:rsidRPr="00520D2A" w14:paraId="73F050B7" w14:textId="77777777" w:rsidTr="00520D2A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2A46A9E4" w14:textId="2171246A" w:rsidR="00520D2A" w:rsidRPr="00520D2A" w:rsidRDefault="00DE4DA4" w:rsidP="00520D2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QUANDO UTILIZAR EQUIPOS FOTOSSENSÍVEIS?</w:t>
            </w:r>
          </w:p>
        </w:tc>
      </w:tr>
      <w:tr w:rsidR="009C24E4" w14:paraId="65E3CF73" w14:textId="77777777" w:rsidTr="001B4D68">
        <w:trPr>
          <w:trHeight w:val="104"/>
        </w:trPr>
        <w:tc>
          <w:tcPr>
            <w:tcW w:w="9061" w:type="dxa"/>
            <w:gridSpan w:val="2"/>
          </w:tcPr>
          <w:p w14:paraId="73AD996D" w14:textId="6F8A3D6F" w:rsidR="0012689F" w:rsidRPr="00DE4DA4" w:rsidRDefault="00BD4E99" w:rsidP="00BD4E99">
            <w:pPr>
              <w:pStyle w:val="PargrafodaLista"/>
              <w:spacing w:after="0" w:line="240" w:lineRule="auto"/>
              <w:ind w:left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     </w:t>
            </w:r>
            <w:r w:rsidR="00DE4DA4" w:rsidRPr="00DE4DA4">
              <w:rPr>
                <w:bCs/>
                <w:noProof/>
              </w:rPr>
              <w:t>Conforme protocolo insticional (</w:t>
            </w:r>
            <w:r w:rsidR="0012689F" w:rsidRPr="00DE4DA4">
              <w:rPr>
                <w:bCs/>
                <w:noProof/>
              </w:rPr>
              <w:t>PR.FARM.023.00</w:t>
            </w:r>
            <w:r w:rsidR="00DE4DA4" w:rsidRPr="00DE4DA4">
              <w:rPr>
                <w:bCs/>
                <w:noProof/>
              </w:rPr>
              <w:t>),</w:t>
            </w:r>
            <w:r w:rsidR="00DE4DA4">
              <w:rPr>
                <w:bCs/>
                <w:noProof/>
              </w:rPr>
              <w:t xml:space="preserve"> os seguintes medicamentos deverão ser administrados por meio de equipo fotossensível</w:t>
            </w:r>
            <w:r w:rsidR="0012689F" w:rsidRPr="00DE4DA4">
              <w:rPr>
                <w:bCs/>
                <w:noProof/>
              </w:rPr>
              <w:t>: adrenalina, anfotericina B, noradrenalina, furosemida contínua</w:t>
            </w:r>
            <w:r w:rsidR="006522F6" w:rsidRPr="00DE4DA4">
              <w:rPr>
                <w:bCs/>
                <w:noProof/>
              </w:rPr>
              <w:t>, nitroprussiato</w:t>
            </w:r>
            <w:r w:rsidR="00DE4DA4">
              <w:rPr>
                <w:bCs/>
                <w:noProof/>
              </w:rPr>
              <w:t>. Para nutrição parenteral também é necessário proteção da luz.</w:t>
            </w:r>
          </w:p>
        </w:tc>
      </w:tr>
    </w:tbl>
    <w:p w14:paraId="7561E843" w14:textId="35C56903" w:rsidR="00305F29" w:rsidRDefault="00305F29" w:rsidP="00747422">
      <w:pPr>
        <w:pStyle w:val="Default"/>
        <w:jc w:val="both"/>
        <w:rPr>
          <w:rFonts w:ascii="Calibri" w:hAnsi="Calibri" w:cs="Calibri"/>
          <w:b/>
        </w:rPr>
      </w:pPr>
    </w:p>
    <w:p w14:paraId="30BC13E4" w14:textId="60732A2E" w:rsidR="005873E6" w:rsidRPr="00AB2BE8" w:rsidRDefault="00B4676C" w:rsidP="00747422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AB2BE8">
        <w:rPr>
          <w:rFonts w:ascii="Calibri" w:hAnsi="Calibri" w:cs="Calibri"/>
          <w:b/>
          <w:sz w:val="22"/>
          <w:szCs w:val="22"/>
        </w:rPr>
        <w:t>REFERÊNCIAS:</w:t>
      </w:r>
    </w:p>
    <w:p w14:paraId="55A3C504" w14:textId="76CB5211" w:rsidR="00604366" w:rsidRPr="0097202A" w:rsidRDefault="00604366" w:rsidP="00604366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bCs/>
          <w:i/>
          <w:iCs/>
          <w:sz w:val="22"/>
          <w:szCs w:val="22"/>
          <w:lang w:val="en-US"/>
        </w:rPr>
      </w:pPr>
      <w:r w:rsidRPr="0097202A">
        <w:rPr>
          <w:rFonts w:ascii="Calibri" w:hAnsi="Calibri" w:cs="Calibri"/>
          <w:bCs/>
          <w:i/>
          <w:iCs/>
          <w:sz w:val="22"/>
          <w:szCs w:val="22"/>
          <w:lang w:val="en-US"/>
        </w:rPr>
        <w:t>Giuliano, Karen K. Intravenous Smart Pumps: Usability Issues, Intravenous Medication</w:t>
      </w:r>
    </w:p>
    <w:p w14:paraId="4CB755AD" w14:textId="148D2BDA" w:rsidR="008D6207" w:rsidRPr="00AB2BE8" w:rsidRDefault="00604366" w:rsidP="00604366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  <w:lang w:val="en-US"/>
        </w:rPr>
      </w:pPr>
      <w:r w:rsidRPr="0097202A">
        <w:rPr>
          <w:rFonts w:ascii="Calibri" w:hAnsi="Calibri" w:cs="Calibri"/>
          <w:bCs/>
          <w:i/>
          <w:iCs/>
          <w:sz w:val="22"/>
          <w:szCs w:val="22"/>
          <w:lang w:val="en-US"/>
        </w:rPr>
        <w:t>Administration Error, an</w:t>
      </w:r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d Patient Safety.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>Crit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 Care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>Nurs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>Clin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 N Am 30 (2018) 215–224</w:t>
      </w:r>
    </w:p>
    <w:p w14:paraId="529D0051" w14:textId="2AAC7D27" w:rsidR="008D6207" w:rsidRPr="00AB2BE8" w:rsidRDefault="008D6207" w:rsidP="008D6207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Huber, C., B.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>Rebold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, and C. Wallace. "ECRI institute PSO deep dive analyzes medication events."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Patient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Saf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Qual Health 9 (2012): 28-34.</w:t>
      </w:r>
    </w:p>
    <w:p w14:paraId="369DF0F5" w14:textId="05293BA6" w:rsidR="008D6207" w:rsidRPr="00AB2BE8" w:rsidRDefault="008D6207" w:rsidP="008D6207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bCs/>
          <w:i/>
          <w:iCs/>
          <w:sz w:val="22"/>
          <w:szCs w:val="22"/>
          <w:lang w:val="en-US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Maddox RR,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>Danello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 S, Williams CK, et al. Intravenous infusion safety initiative:</w:t>
      </w:r>
    </w:p>
    <w:p w14:paraId="6431B36E" w14:textId="77777777" w:rsidR="008D6207" w:rsidRPr="00AB2BE8" w:rsidRDefault="008D6207" w:rsidP="008D6207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  <w:lang w:val="en-US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>collaboration, evidence-based best practices, and “smart” technology help avert</w:t>
      </w:r>
    </w:p>
    <w:p w14:paraId="61BD674A" w14:textId="77777777" w:rsidR="008D6207" w:rsidRPr="00AB2BE8" w:rsidRDefault="008D6207" w:rsidP="008D6207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  <w:lang w:val="en-US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>high-risk adverse drug events and improve patient outcomes. Rockville (MD):</w:t>
      </w:r>
    </w:p>
    <w:p w14:paraId="364A1337" w14:textId="3A30640A" w:rsidR="008D6207" w:rsidRPr="00AB2BE8" w:rsidRDefault="008D6207" w:rsidP="008D6207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  <w:lang w:val="en-US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>Agency for Healthcare Research and Quality; 2008. p. 1–</w:t>
      </w:r>
    </w:p>
    <w:p w14:paraId="495DDD8E" w14:textId="19BF4237" w:rsidR="00B17197" w:rsidRPr="00AB2BE8" w:rsidRDefault="00D26B00" w:rsidP="00650F05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Manual da Bomba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Infusomat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Space</w:t>
      </w:r>
      <w:r w:rsidRPr="00AB2BE8">
        <w:rPr>
          <w:rFonts w:ascii="Calibri" w:hAnsi="Calibri" w:cs="Calibri"/>
          <w:bCs/>
          <w:i/>
          <w:iCs/>
          <w:sz w:val="22"/>
          <w:szCs w:val="22"/>
          <w:vertAlign w:val="superscript"/>
        </w:rPr>
        <w:t>R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– </w:t>
      </w:r>
      <w:proofErr w:type="spellStart"/>
      <w:proofErr w:type="gramStart"/>
      <w:r w:rsidRPr="00AB2BE8">
        <w:rPr>
          <w:rFonts w:ascii="Calibri" w:hAnsi="Calibri" w:cs="Calibri"/>
          <w:bCs/>
          <w:i/>
          <w:iCs/>
          <w:sz w:val="22"/>
          <w:szCs w:val="22"/>
        </w:rPr>
        <w:t>B.Braun</w:t>
      </w:r>
      <w:proofErr w:type="spellEnd"/>
      <w:proofErr w:type="gramEnd"/>
    </w:p>
    <w:p w14:paraId="3B37725E" w14:textId="62709142" w:rsidR="004063B9" w:rsidRPr="00AB2BE8" w:rsidRDefault="005923DC" w:rsidP="004063B9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bCs/>
          <w:i/>
          <w:iCs/>
          <w:sz w:val="22"/>
          <w:szCs w:val="22"/>
          <w:lang w:val="en-US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="004063B9"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>Ohashi</w:t>
      </w:r>
      <w:proofErr w:type="spellEnd"/>
      <w:r w:rsidR="004063B9"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 K, </w:t>
      </w:r>
      <w:proofErr w:type="spellStart"/>
      <w:r w:rsidR="004063B9"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>Dalleur</w:t>
      </w:r>
      <w:proofErr w:type="spellEnd"/>
      <w:r w:rsidR="004063B9"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 O, Dykes PC, et al. Benefits and risks of using smart pumps to</w:t>
      </w:r>
    </w:p>
    <w:p w14:paraId="6104D497" w14:textId="6CD08FB7" w:rsidR="005923DC" w:rsidRPr="00AB2BE8" w:rsidRDefault="004063B9" w:rsidP="004063B9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reduce medication error rates: a systematic review. Drug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>Saf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 2014;37(12):</w:t>
      </w:r>
      <w:r w:rsidRPr="00AB2BE8">
        <w:rPr>
          <w:rFonts w:ascii="Calibri" w:hAnsi="Calibri" w:cs="Calibri"/>
          <w:bCs/>
          <w:i/>
          <w:iCs/>
          <w:sz w:val="22"/>
          <w:szCs w:val="22"/>
        </w:rPr>
        <w:t>1011–20</w:t>
      </w:r>
    </w:p>
    <w:p w14:paraId="182642FD" w14:textId="092CEC0E" w:rsidR="003848D8" w:rsidRPr="00AB2BE8" w:rsidRDefault="003848D8" w:rsidP="003848D8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Freitas K, Oliveira CG. Erros na administração de medicamentos na prática assistencial da equipe de enfermagem: uma revisão sistemática.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Ciencias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Biologicas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Saude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Unit. 2016;3(3):241-56.</w:t>
      </w:r>
    </w:p>
    <w:p w14:paraId="1B68892A" w14:textId="369BE7C0" w:rsidR="00620BA2" w:rsidRPr="00AB2BE8" w:rsidRDefault="00620BA2" w:rsidP="00620BA2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Wu H, Huang J. Drug-Induced Nephrotoxicity: Pathogenic Mechanisms, Biomarkers and Prevention Strategies.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Curr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Drug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Metab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>. 2018;19(7):559-567</w:t>
      </w:r>
    </w:p>
    <w:p w14:paraId="16166F78" w14:textId="13377F39" w:rsidR="00620BA2" w:rsidRPr="00AB2BE8" w:rsidRDefault="00620BA2" w:rsidP="00620BA2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Protocolo de Heparina – </w:t>
      </w:r>
      <w:proofErr w:type="gramStart"/>
      <w:r w:rsidRPr="00AB2BE8">
        <w:rPr>
          <w:rFonts w:ascii="Calibri" w:hAnsi="Calibri" w:cs="Calibri"/>
          <w:bCs/>
          <w:i/>
          <w:iCs/>
          <w:sz w:val="22"/>
          <w:szCs w:val="22"/>
        </w:rPr>
        <w:t>2009 .</w:t>
      </w:r>
      <w:proofErr w:type="gram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Hospital Israelita Albert Einstein – Hospital Israelita </w:t>
      </w:r>
    </w:p>
    <w:p w14:paraId="53187B1B" w14:textId="12BDE22B" w:rsidR="00620BA2" w:rsidRDefault="00620BA2" w:rsidP="00620BA2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B2BE8">
        <w:rPr>
          <w:rFonts w:ascii="Calibri" w:hAnsi="Calibri" w:cs="Calibri"/>
          <w:bCs/>
          <w:i/>
          <w:iCs/>
          <w:sz w:val="22"/>
          <w:szCs w:val="22"/>
          <w:lang w:val="en-US"/>
        </w:rPr>
        <w:t xml:space="preserve">Trim JC, Roe J. Practical considerations in the administration of intravenous vasoactive drugs in the critical care setting: the double pumping or piggyback technique-part one.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Intensive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Crit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Care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Pr="00AB2BE8">
        <w:rPr>
          <w:rFonts w:ascii="Calibri" w:hAnsi="Calibri" w:cs="Calibri"/>
          <w:bCs/>
          <w:i/>
          <w:iCs/>
          <w:sz w:val="22"/>
          <w:szCs w:val="22"/>
        </w:rPr>
        <w:t>Nurs</w:t>
      </w:r>
      <w:proofErr w:type="spellEnd"/>
      <w:r w:rsidRPr="00AB2BE8">
        <w:rPr>
          <w:rFonts w:ascii="Calibri" w:hAnsi="Calibri" w:cs="Calibri"/>
          <w:bCs/>
          <w:i/>
          <w:iCs/>
          <w:sz w:val="22"/>
          <w:szCs w:val="22"/>
        </w:rPr>
        <w:t>. 2004 Jun;20(3):153-60</w:t>
      </w:r>
    </w:p>
    <w:p w14:paraId="199A4997" w14:textId="21C0EB5A" w:rsidR="00776FF3" w:rsidRDefault="00776FF3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111994A" w14:textId="11B8D21B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7A611498" w14:textId="448AADBE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1738360E" w14:textId="18C6F6C5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23F5B0BF" w14:textId="4516932F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0E1939B6" w14:textId="77777777" w:rsidR="00421FE2" w:rsidRDefault="00421FE2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DBE2DEF" w14:textId="25E3E4A6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32C77E7C" w14:textId="43344C88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4868E675" w14:textId="53592C0C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1EFBA98B" w14:textId="051A235A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6CAD975" w14:textId="4C618DFD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5590F04F" w14:textId="5EA6C1DC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3E6801F1" w14:textId="4603B01D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16881F28" w14:textId="428B3212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710CA85D" w14:textId="302C393A" w:rsidR="00BD420F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2B9C205E" w14:textId="77777777" w:rsidR="00BD420F" w:rsidRPr="00AB2BE8" w:rsidRDefault="00BD420F" w:rsidP="00776FF3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7FD76ADA" w14:textId="3021576B" w:rsidR="00776FF3" w:rsidRDefault="00776FF3" w:rsidP="003848D8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76FF3" w14:paraId="17686087" w14:textId="77777777" w:rsidTr="00AC1587">
        <w:trPr>
          <w:trHeight w:val="1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F55353" w14:textId="77777777" w:rsidR="00776FF3" w:rsidRDefault="00776FF3" w:rsidP="00AC158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A6528" w14:textId="77777777" w:rsidR="00776FF3" w:rsidRDefault="00776FF3" w:rsidP="00AC158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576661" w14:textId="77777777" w:rsidR="00776FF3" w:rsidRDefault="00776FF3" w:rsidP="00AC158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FF6F94" w14:textId="77777777" w:rsidR="00776FF3" w:rsidRDefault="00776FF3" w:rsidP="00AC158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Validado por:</w:t>
            </w:r>
          </w:p>
        </w:tc>
      </w:tr>
      <w:tr w:rsidR="00776FF3" w14:paraId="722C5493" w14:textId="77777777" w:rsidTr="00AC1587">
        <w:trPr>
          <w:trHeight w:val="9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3C4" w14:textId="63254A55" w:rsidR="00776FF3" w:rsidRDefault="00776FF3" w:rsidP="00AC1587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8A19BA3" w14:textId="77777777" w:rsidR="00BD420F" w:rsidRDefault="00BD420F" w:rsidP="00AC1587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BBED7A0" w14:textId="77777777" w:rsidR="00BD420F" w:rsidRPr="000E14F9" w:rsidRDefault="00BD420F" w:rsidP="00BD420F">
            <w:pPr>
              <w:pStyle w:val="Rodap"/>
              <w:spacing w:line="276" w:lineRule="auto"/>
              <w:jc w:val="center"/>
              <w:rPr>
                <w:sz w:val="20"/>
                <w:szCs w:val="16"/>
              </w:rPr>
            </w:pPr>
            <w:r w:rsidRPr="000E14F9">
              <w:rPr>
                <w:sz w:val="20"/>
                <w:szCs w:val="16"/>
              </w:rPr>
              <w:t xml:space="preserve">MARCOS PAVIONE </w:t>
            </w:r>
          </w:p>
          <w:p w14:paraId="2362F1BD" w14:textId="15410935" w:rsidR="00BD420F" w:rsidRPr="000E14F9" w:rsidRDefault="006E6B94" w:rsidP="00BD420F">
            <w:pPr>
              <w:pStyle w:val="Rodap"/>
              <w:spacing w:line="276" w:lineRule="auto"/>
              <w:jc w:val="center"/>
              <w:rPr>
                <w:sz w:val="20"/>
                <w:szCs w:val="16"/>
              </w:rPr>
            </w:pPr>
            <w:r w:rsidRPr="000E14F9">
              <w:rPr>
                <w:sz w:val="20"/>
                <w:szCs w:val="16"/>
              </w:rPr>
              <w:t>Diretor Técnico</w:t>
            </w:r>
          </w:p>
          <w:p w14:paraId="6D7D1A64" w14:textId="77777777" w:rsidR="00776FF3" w:rsidRPr="001751F4" w:rsidRDefault="00776FF3" w:rsidP="00BD420F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53C" w14:textId="77777777" w:rsidR="00BD420F" w:rsidRDefault="00BD420F" w:rsidP="00AC1587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7A2494" w14:textId="77777777" w:rsidR="00BD420F" w:rsidRDefault="00BD420F" w:rsidP="00AC1587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36A501B" w14:textId="7821BDC5" w:rsidR="00776FF3" w:rsidRPr="000E14F9" w:rsidRDefault="00776FF3" w:rsidP="00AC1587">
            <w:pPr>
              <w:pStyle w:val="Rodap"/>
              <w:spacing w:line="276" w:lineRule="auto"/>
              <w:jc w:val="center"/>
              <w:rPr>
                <w:sz w:val="20"/>
                <w:szCs w:val="16"/>
              </w:rPr>
            </w:pPr>
            <w:r w:rsidRPr="000E14F9">
              <w:rPr>
                <w:sz w:val="20"/>
                <w:szCs w:val="16"/>
              </w:rPr>
              <w:t xml:space="preserve">MARCOS PAVIONE </w:t>
            </w:r>
          </w:p>
          <w:p w14:paraId="50901DA9" w14:textId="2475CD51" w:rsidR="00776FF3" w:rsidRPr="000E14F9" w:rsidRDefault="006E6B94" w:rsidP="00AC1587">
            <w:pPr>
              <w:pStyle w:val="Rodap"/>
              <w:spacing w:line="276" w:lineRule="auto"/>
              <w:jc w:val="center"/>
              <w:rPr>
                <w:sz w:val="20"/>
                <w:szCs w:val="16"/>
              </w:rPr>
            </w:pPr>
            <w:r w:rsidRPr="000E14F9">
              <w:rPr>
                <w:sz w:val="20"/>
                <w:szCs w:val="16"/>
              </w:rPr>
              <w:t>Diretor Técnico</w:t>
            </w:r>
          </w:p>
          <w:p w14:paraId="403F348B" w14:textId="3D6591F1" w:rsidR="00776FF3" w:rsidRDefault="00776FF3" w:rsidP="00AC1587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4F4" w14:textId="77777777" w:rsidR="000E14F9" w:rsidRDefault="000E14F9" w:rsidP="00AC1587">
            <w:pPr>
              <w:pStyle w:val="Rodap"/>
              <w:spacing w:line="276" w:lineRule="auto"/>
              <w:jc w:val="center"/>
              <w:rPr>
                <w:sz w:val="20"/>
                <w:szCs w:val="16"/>
              </w:rPr>
            </w:pPr>
          </w:p>
          <w:p w14:paraId="4F6F9C64" w14:textId="72242815" w:rsidR="00931CD9" w:rsidRPr="000E14F9" w:rsidRDefault="00931CD9" w:rsidP="00AC1587">
            <w:pPr>
              <w:pStyle w:val="Rodap"/>
              <w:spacing w:line="276" w:lineRule="auto"/>
              <w:jc w:val="center"/>
              <w:rPr>
                <w:sz w:val="20"/>
                <w:szCs w:val="16"/>
              </w:rPr>
            </w:pPr>
            <w:r w:rsidRPr="000E14F9">
              <w:rPr>
                <w:sz w:val="20"/>
                <w:szCs w:val="16"/>
              </w:rPr>
              <w:t>DERIJULIE SIQUEIRA</w:t>
            </w:r>
          </w:p>
          <w:p w14:paraId="0C500F27" w14:textId="62474F56" w:rsidR="00776FF3" w:rsidRPr="000E14F9" w:rsidRDefault="00931CD9" w:rsidP="00AC1587">
            <w:pPr>
              <w:pStyle w:val="Rodap"/>
              <w:spacing w:line="276" w:lineRule="auto"/>
              <w:jc w:val="center"/>
              <w:rPr>
                <w:sz w:val="20"/>
                <w:szCs w:val="16"/>
              </w:rPr>
            </w:pPr>
            <w:r w:rsidRPr="000E14F9">
              <w:rPr>
                <w:sz w:val="20"/>
                <w:szCs w:val="16"/>
              </w:rPr>
              <w:t xml:space="preserve"> </w:t>
            </w:r>
            <w:r w:rsidR="001C1A60">
              <w:rPr>
                <w:sz w:val="20"/>
                <w:szCs w:val="16"/>
              </w:rPr>
              <w:t>Gerente de E</w:t>
            </w:r>
            <w:r w:rsidR="006E6B94" w:rsidRPr="000E14F9">
              <w:rPr>
                <w:sz w:val="20"/>
                <w:szCs w:val="16"/>
              </w:rPr>
              <w:t>nfermagem</w:t>
            </w:r>
          </w:p>
          <w:p w14:paraId="213F9FD7" w14:textId="77777777" w:rsidR="00BD420F" w:rsidRPr="000E14F9" w:rsidRDefault="00BD420F" w:rsidP="00AC1587">
            <w:pPr>
              <w:pStyle w:val="Rodap"/>
              <w:spacing w:line="276" w:lineRule="auto"/>
              <w:jc w:val="center"/>
              <w:rPr>
                <w:sz w:val="20"/>
                <w:szCs w:val="16"/>
              </w:rPr>
            </w:pPr>
          </w:p>
          <w:p w14:paraId="7F33D7D0" w14:textId="77777777" w:rsidR="00BD420F" w:rsidRPr="000E14F9" w:rsidRDefault="00BD420F" w:rsidP="00AC1587">
            <w:pPr>
              <w:pStyle w:val="Rodap"/>
              <w:spacing w:line="276" w:lineRule="auto"/>
              <w:jc w:val="center"/>
              <w:rPr>
                <w:sz w:val="20"/>
                <w:szCs w:val="16"/>
              </w:rPr>
            </w:pPr>
            <w:r w:rsidRPr="000E14F9">
              <w:rPr>
                <w:sz w:val="20"/>
                <w:szCs w:val="16"/>
              </w:rPr>
              <w:t xml:space="preserve">JULIANA SOUZA </w:t>
            </w:r>
          </w:p>
          <w:p w14:paraId="23E2F1F2" w14:textId="77777777" w:rsidR="00BD420F" w:rsidRDefault="006E6B94" w:rsidP="00AC1587">
            <w:pPr>
              <w:pStyle w:val="Rodap"/>
              <w:spacing w:line="276" w:lineRule="auto"/>
              <w:jc w:val="center"/>
              <w:rPr>
                <w:sz w:val="20"/>
                <w:szCs w:val="16"/>
              </w:rPr>
            </w:pPr>
            <w:r w:rsidRPr="000E14F9">
              <w:rPr>
                <w:sz w:val="20"/>
                <w:szCs w:val="16"/>
              </w:rPr>
              <w:t>Farmacêutica</w:t>
            </w:r>
          </w:p>
          <w:p w14:paraId="72C65CAC" w14:textId="127815A4" w:rsidR="000E14F9" w:rsidRDefault="000E14F9" w:rsidP="00AC1587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6BD" w14:textId="77777777" w:rsidR="00776FF3" w:rsidRDefault="00776FF3" w:rsidP="00AC1587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691B2BFF" w14:textId="77777777" w:rsidR="00776FF3" w:rsidRDefault="00776FF3" w:rsidP="00AC1587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5273BF96" w14:textId="77777777" w:rsidR="00776FF3" w:rsidRPr="000E14F9" w:rsidRDefault="00776FF3" w:rsidP="00AC1587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6"/>
              </w:rPr>
            </w:pPr>
            <w:r w:rsidRPr="000E14F9">
              <w:rPr>
                <w:rFonts w:cs="Arial"/>
                <w:sz w:val="18"/>
                <w:szCs w:val="16"/>
              </w:rPr>
              <w:t>ULLY MARIANNE F. LEMOS</w:t>
            </w:r>
          </w:p>
          <w:p w14:paraId="3D89B130" w14:textId="77777777" w:rsidR="00776FF3" w:rsidRPr="001751F4" w:rsidRDefault="00776FF3" w:rsidP="00AC1587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E14F9">
              <w:rPr>
                <w:rFonts w:cs="Arial"/>
                <w:sz w:val="20"/>
                <w:szCs w:val="16"/>
              </w:rPr>
              <w:t xml:space="preserve">Coord. </w:t>
            </w:r>
            <w:proofErr w:type="gramStart"/>
            <w:r w:rsidRPr="000E14F9">
              <w:rPr>
                <w:rFonts w:cs="Arial"/>
                <w:sz w:val="20"/>
                <w:szCs w:val="16"/>
              </w:rPr>
              <w:t>da</w:t>
            </w:r>
            <w:proofErr w:type="gramEnd"/>
            <w:r w:rsidRPr="000E14F9">
              <w:rPr>
                <w:rFonts w:cs="Arial"/>
                <w:sz w:val="20"/>
                <w:szCs w:val="16"/>
              </w:rPr>
              <w:t xml:space="preserve"> Qualidade</w:t>
            </w:r>
          </w:p>
          <w:p w14:paraId="665F5427" w14:textId="77777777" w:rsidR="00776FF3" w:rsidRDefault="00776FF3" w:rsidP="00AC1587">
            <w:pPr>
              <w:pStyle w:val="Rodap"/>
              <w:spacing w:line="276" w:lineRule="auto"/>
              <w:ind w:left="102" w:hanging="102"/>
              <w:jc w:val="center"/>
              <w:rPr>
                <w:sz w:val="20"/>
                <w:szCs w:val="20"/>
              </w:rPr>
            </w:pPr>
          </w:p>
        </w:tc>
      </w:tr>
      <w:tr w:rsidR="00776FF3" w14:paraId="28E2AF2B" w14:textId="77777777" w:rsidTr="00AC158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587A3" w14:textId="55D40DEC" w:rsidR="00776FF3" w:rsidRDefault="00BD420F" w:rsidP="00AC158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 17/01/2022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131FC" w14:textId="0B05B20F" w:rsidR="00776FF3" w:rsidRDefault="00776FF3" w:rsidP="0050349B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50349B">
              <w:rPr>
                <w:b/>
                <w:sz w:val="18"/>
                <w:szCs w:val="18"/>
              </w:rPr>
              <w:t>02/05/2024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76C1B" w14:textId="3A8FEE2D" w:rsidR="00776FF3" w:rsidRDefault="00776FF3" w:rsidP="0050349B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50349B">
              <w:rPr>
                <w:b/>
                <w:sz w:val="18"/>
                <w:szCs w:val="18"/>
              </w:rPr>
              <w:t>02/05/2024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B46A9" w14:textId="76EECF2B" w:rsidR="00776FF3" w:rsidRDefault="00776FF3" w:rsidP="0050349B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  <w:r w:rsidR="0050349B">
              <w:rPr>
                <w:b/>
                <w:sz w:val="18"/>
                <w:szCs w:val="18"/>
              </w:rPr>
              <w:t>: 06/05/2024</w:t>
            </w:r>
          </w:p>
        </w:tc>
      </w:tr>
      <w:tr w:rsidR="00776FF3" w14:paraId="4F4CA1C5" w14:textId="77777777" w:rsidTr="00AC1587">
        <w:trPr>
          <w:trHeight w:val="176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F111C" w14:textId="47345FA4" w:rsidR="00776FF3" w:rsidRDefault="00776FF3" w:rsidP="00AC158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3F45F8BC" w14:textId="77777777" w:rsidR="000E14F9" w:rsidRDefault="000E14F9" w:rsidP="00AC158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</w:p>
          <w:p w14:paraId="1B66BC25" w14:textId="624F9F6E" w:rsidR="000E14F9" w:rsidRDefault="000E14F9" w:rsidP="00AC158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11E9013" wp14:editId="2BE1E702">
                  <wp:extent cx="1671853" cy="544629"/>
                  <wp:effectExtent l="0" t="0" r="508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087" cy="56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40FBBA0" wp14:editId="0A515FC1">
                  <wp:extent cx="1236269" cy="646414"/>
                  <wp:effectExtent l="0" t="0" r="2540" b="190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rijulie Siqueira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465" cy="66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31BA31D" wp14:editId="356EB9E7">
                  <wp:extent cx="1390225" cy="637870"/>
                  <wp:effectExtent l="0" t="0" r="63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uliana (Farmacêutica)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011" cy="651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3A418FD" wp14:editId="25217082">
                  <wp:extent cx="1086181" cy="680135"/>
                  <wp:effectExtent l="0" t="0" r="0" b="571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lly Marianne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375" cy="68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6E399" w14:textId="77777777" w:rsidR="00776FF3" w:rsidRDefault="00776FF3" w:rsidP="00776FF3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39B6470A" w14:textId="77777777" w:rsidR="00776FF3" w:rsidRDefault="00776FF3" w:rsidP="00776FF3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revisões</w:t>
      </w:r>
    </w:p>
    <w:tbl>
      <w:tblPr>
        <w:tblpPr w:leftFromText="180" w:rightFromText="180" w:bottomFromText="160" w:vertAnchor="text" w:horzAnchor="margin" w:tblpY="60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657"/>
        <w:gridCol w:w="1558"/>
      </w:tblGrid>
      <w:tr w:rsidR="00776FF3" w14:paraId="2EFB784E" w14:textId="77777777" w:rsidTr="00AC1587">
        <w:trPr>
          <w:trHeight w:val="1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D01809" w14:textId="77777777" w:rsidR="00776FF3" w:rsidRDefault="00776FF3" w:rsidP="00AC158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36DD18" w14:textId="77777777" w:rsidR="00776FF3" w:rsidRDefault="00776FF3" w:rsidP="00AC158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CCDB07" w14:textId="77777777" w:rsidR="00776FF3" w:rsidRDefault="00776FF3" w:rsidP="00AC158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776FF3" w14:paraId="379A6F7C" w14:textId="77777777" w:rsidTr="00AC158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31D3C" w14:textId="77777777" w:rsidR="00776FF3" w:rsidRDefault="00776FF3" w:rsidP="00AC1587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328F" w14:textId="62FBBD19" w:rsidR="00776FF3" w:rsidRDefault="00776FF3" w:rsidP="00BD420F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Atualização do protocolo.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14E6D" w14:textId="44BDB3E0" w:rsidR="00776FF3" w:rsidRDefault="00BD420F" w:rsidP="00AC1587">
            <w:pPr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776FF3">
              <w:rPr>
                <w:rFonts w:cstheme="minorHAnsi"/>
              </w:rPr>
              <w:t>/09/2022</w:t>
            </w:r>
          </w:p>
        </w:tc>
      </w:tr>
      <w:tr w:rsidR="00776FF3" w14:paraId="0114D006" w14:textId="77777777" w:rsidTr="00AC158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141" w14:textId="77777777" w:rsidR="00776FF3" w:rsidRDefault="00776FF3" w:rsidP="00AC1587">
            <w:pPr>
              <w:pStyle w:val="Rodap"/>
              <w:spacing w:line="276" w:lineRule="auto"/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FDA" w14:textId="6E9CA5BF" w:rsidR="00776FF3" w:rsidRDefault="0050349B" w:rsidP="00AC1587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98B61" w14:textId="5398320A" w:rsidR="00776FF3" w:rsidRDefault="0050349B" w:rsidP="00AC158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02/05/2024</w:t>
            </w:r>
            <w:bookmarkStart w:id="0" w:name="_GoBack"/>
            <w:bookmarkEnd w:id="0"/>
          </w:p>
        </w:tc>
      </w:tr>
    </w:tbl>
    <w:p w14:paraId="167D2A1C" w14:textId="77777777" w:rsidR="00776FF3" w:rsidRDefault="00776FF3" w:rsidP="00776FF3">
      <w:pPr>
        <w:pStyle w:val="Rodap"/>
        <w:rPr>
          <w:sz w:val="24"/>
          <w:szCs w:val="24"/>
        </w:rPr>
      </w:pPr>
    </w:p>
    <w:p w14:paraId="0A236FC7" w14:textId="77777777" w:rsidR="00776FF3" w:rsidRPr="00AB2BE8" w:rsidRDefault="00776FF3" w:rsidP="003848D8">
      <w:pPr>
        <w:pStyle w:val="Default"/>
        <w:ind w:left="720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sectPr w:rsidR="00776FF3" w:rsidRPr="00AB2BE8" w:rsidSect="00D22C6B">
      <w:head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B21A6" w14:textId="77777777" w:rsidR="00881740" w:rsidRDefault="00881740" w:rsidP="00090248">
      <w:pPr>
        <w:spacing w:after="0" w:line="240" w:lineRule="auto"/>
      </w:pPr>
      <w:r>
        <w:separator/>
      </w:r>
    </w:p>
  </w:endnote>
  <w:endnote w:type="continuationSeparator" w:id="0">
    <w:p w14:paraId="1778A264" w14:textId="77777777" w:rsidR="00881740" w:rsidRDefault="00881740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5A500" w14:textId="77777777" w:rsidR="00881740" w:rsidRDefault="00881740" w:rsidP="00090248">
      <w:pPr>
        <w:spacing w:after="0" w:line="240" w:lineRule="auto"/>
      </w:pPr>
      <w:r>
        <w:separator/>
      </w:r>
    </w:p>
  </w:footnote>
  <w:footnote w:type="continuationSeparator" w:id="0">
    <w:p w14:paraId="61A44562" w14:textId="77777777" w:rsidR="00881740" w:rsidRDefault="00881740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B57D8B" w:rsidRPr="003A52FB" w14:paraId="4149CEC9" w14:textId="77777777" w:rsidTr="003C67C9">
      <w:trPr>
        <w:trHeight w:val="165"/>
      </w:trPr>
      <w:tc>
        <w:tcPr>
          <w:tcW w:w="1213" w:type="dxa"/>
          <w:vMerge w:val="restart"/>
        </w:tcPr>
        <w:p w14:paraId="0B84FF5C" w14:textId="77777777" w:rsidR="00B57D8B" w:rsidRPr="003A52FB" w:rsidRDefault="00B57D8B" w:rsidP="00B57D8B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09026F2" wp14:editId="4532EFE0">
                <wp:simplePos x="0" y="0"/>
                <wp:positionH relativeFrom="margin">
                  <wp:posOffset>-32385</wp:posOffset>
                </wp:positionH>
                <wp:positionV relativeFrom="page">
                  <wp:posOffset>60325</wp:posOffset>
                </wp:positionV>
                <wp:extent cx="730885" cy="73088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84518DC" w14:textId="77777777" w:rsidR="00B57D8B" w:rsidRPr="003A52FB" w:rsidRDefault="00B57D8B" w:rsidP="00B57D8B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5DD75862" w14:textId="77777777" w:rsidR="00B57D8B" w:rsidRPr="0001281D" w:rsidRDefault="00B57D8B" w:rsidP="00B57D8B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14:paraId="296684BD" w14:textId="77777777" w:rsidR="00B57D8B" w:rsidRPr="003E6EEA" w:rsidRDefault="00B57D8B" w:rsidP="00B57D8B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5CFF1808" w14:textId="77777777" w:rsidR="00B57D8B" w:rsidRPr="003E6EEA" w:rsidRDefault="00B57D8B" w:rsidP="00B57D8B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B57D8B" w:rsidRPr="003A52FB" w14:paraId="197C634B" w14:textId="77777777" w:rsidTr="003C67C9">
      <w:trPr>
        <w:trHeight w:val="304"/>
      </w:trPr>
      <w:tc>
        <w:tcPr>
          <w:tcW w:w="1213" w:type="dxa"/>
          <w:vMerge/>
        </w:tcPr>
        <w:p w14:paraId="478ED3BB" w14:textId="77777777" w:rsidR="00B57D8B" w:rsidRPr="003A52FB" w:rsidRDefault="00B57D8B" w:rsidP="00B57D8B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14:paraId="4D5D7730" w14:textId="77777777" w:rsidR="00B57D8B" w:rsidRPr="003A52FB" w:rsidRDefault="00B57D8B" w:rsidP="00B57D8B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15B24681" w14:textId="77777777" w:rsidR="00B57D8B" w:rsidRPr="00C01416" w:rsidRDefault="00B57D8B" w:rsidP="00B57D8B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01416">
            <w:rPr>
              <w:rFonts w:cs="Arial"/>
              <w:sz w:val="20"/>
              <w:szCs w:val="20"/>
            </w:rPr>
            <w:t>P</w:t>
          </w:r>
          <w:r>
            <w:rPr>
              <w:rFonts w:cs="Arial"/>
              <w:sz w:val="20"/>
              <w:szCs w:val="20"/>
            </w:rPr>
            <w:t>ROT.DT.034</w:t>
          </w:r>
        </w:p>
      </w:tc>
      <w:tc>
        <w:tcPr>
          <w:tcW w:w="1087" w:type="dxa"/>
        </w:tcPr>
        <w:p w14:paraId="73478313" w14:textId="0E7A043D" w:rsidR="00B57D8B" w:rsidRPr="003E6EEA" w:rsidRDefault="00B57D8B" w:rsidP="00B57D8B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FF7808">
            <w:rPr>
              <w:bCs/>
              <w:noProof/>
              <w:color w:val="000000" w:themeColor="text1"/>
            </w:rPr>
            <w:t>4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FF7808">
            <w:rPr>
              <w:bCs/>
              <w:noProof/>
              <w:color w:val="000000" w:themeColor="text1"/>
            </w:rPr>
            <w:t>5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B57D8B" w:rsidRPr="003A52FB" w14:paraId="08EEE101" w14:textId="77777777" w:rsidTr="003C67C9">
      <w:trPr>
        <w:trHeight w:val="207"/>
      </w:trPr>
      <w:tc>
        <w:tcPr>
          <w:tcW w:w="1213" w:type="dxa"/>
          <w:vMerge/>
        </w:tcPr>
        <w:p w14:paraId="53FA0398" w14:textId="77777777" w:rsidR="00B57D8B" w:rsidRPr="003A52FB" w:rsidRDefault="00B57D8B" w:rsidP="00B57D8B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3968C5C5" w14:textId="77777777" w:rsidR="00B57D8B" w:rsidRPr="009144C0" w:rsidRDefault="00B57D8B" w:rsidP="00B57D8B">
          <w:pPr>
            <w:pStyle w:val="Cabealho"/>
            <w:jc w:val="center"/>
            <w:rPr>
              <w:rFonts w:cs="Arial"/>
            </w:rPr>
          </w:pPr>
          <w:r w:rsidRPr="009144C0">
            <w:t>ADMINISTRAÇÃO ENDOVENOSA DE MEDICAMENTOS DE RISCO COM USO DE BOMBA DE INFUSÃO CONTÍNUA</w:t>
          </w:r>
        </w:p>
      </w:tc>
      <w:tc>
        <w:tcPr>
          <w:tcW w:w="1889" w:type="dxa"/>
          <w:shd w:val="clear" w:color="auto" w:fill="D9D9D9"/>
        </w:tcPr>
        <w:p w14:paraId="0377F175" w14:textId="77777777" w:rsidR="00B57D8B" w:rsidRPr="000227EE" w:rsidRDefault="00B57D8B" w:rsidP="00B57D8B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14:paraId="2B76D5A5" w14:textId="77777777" w:rsidR="00B57D8B" w:rsidRPr="000227EE" w:rsidRDefault="00B57D8B" w:rsidP="00B57D8B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B57D8B" w:rsidRPr="003A52FB" w14:paraId="1CD272F0" w14:textId="77777777" w:rsidTr="003C67C9">
      <w:trPr>
        <w:trHeight w:val="395"/>
      </w:trPr>
      <w:tc>
        <w:tcPr>
          <w:tcW w:w="1213" w:type="dxa"/>
          <w:vMerge/>
        </w:tcPr>
        <w:p w14:paraId="4F3A9078" w14:textId="77777777" w:rsidR="00B57D8B" w:rsidRPr="003A52FB" w:rsidRDefault="00B57D8B" w:rsidP="00B57D8B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14C532C6" w14:textId="77777777" w:rsidR="00B57D8B" w:rsidRPr="003A52FB" w:rsidRDefault="00B57D8B" w:rsidP="00B57D8B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6C398DF9" w14:textId="77777777" w:rsidR="00B57D8B" w:rsidRPr="00C01416" w:rsidRDefault="00B57D8B" w:rsidP="00B57D8B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Direção Técnica</w:t>
          </w:r>
        </w:p>
      </w:tc>
      <w:tc>
        <w:tcPr>
          <w:tcW w:w="1087" w:type="dxa"/>
          <w:vAlign w:val="center"/>
        </w:tcPr>
        <w:p w14:paraId="77088490" w14:textId="77777777" w:rsidR="00B57D8B" w:rsidRPr="00B3202E" w:rsidRDefault="00B57D8B" w:rsidP="00B57D8B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14:paraId="3B225BF8" w14:textId="77777777" w:rsidR="00923626" w:rsidRDefault="009236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EE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395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658"/>
    <w:multiLevelType w:val="hybridMultilevel"/>
    <w:tmpl w:val="5802B4AC"/>
    <w:lvl w:ilvl="0" w:tplc="BC98A77C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A670D"/>
    <w:multiLevelType w:val="hybridMultilevel"/>
    <w:tmpl w:val="79F8B7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2F47"/>
    <w:multiLevelType w:val="hybridMultilevel"/>
    <w:tmpl w:val="73D09742"/>
    <w:lvl w:ilvl="0" w:tplc="04160015">
      <w:start w:val="1"/>
      <w:numFmt w:val="upperLetter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2684E0B"/>
    <w:multiLevelType w:val="hybridMultilevel"/>
    <w:tmpl w:val="878EF47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E557A"/>
    <w:multiLevelType w:val="hybridMultilevel"/>
    <w:tmpl w:val="126C3CC8"/>
    <w:lvl w:ilvl="0" w:tplc="35A45F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1775"/>
    <w:multiLevelType w:val="hybridMultilevel"/>
    <w:tmpl w:val="7018DFAA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86749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97B09"/>
    <w:multiLevelType w:val="hybridMultilevel"/>
    <w:tmpl w:val="FD621B4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5EE8842C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B290832"/>
    <w:multiLevelType w:val="hybridMultilevel"/>
    <w:tmpl w:val="2B9C733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C5D5C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5AD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8FB476D"/>
    <w:multiLevelType w:val="hybridMultilevel"/>
    <w:tmpl w:val="69D452B8"/>
    <w:lvl w:ilvl="0" w:tplc="CA26C91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9409DD"/>
    <w:multiLevelType w:val="hybridMultilevel"/>
    <w:tmpl w:val="3062B0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1">
      <w:start w:val="1"/>
      <w:numFmt w:val="decimal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91E72"/>
    <w:multiLevelType w:val="hybridMultilevel"/>
    <w:tmpl w:val="19A8C22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54B63BC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70D87"/>
    <w:multiLevelType w:val="hybridMultilevel"/>
    <w:tmpl w:val="72E8B18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C42A4"/>
    <w:multiLevelType w:val="hybridMultilevel"/>
    <w:tmpl w:val="CABC3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F137C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A684C"/>
    <w:multiLevelType w:val="hybridMultilevel"/>
    <w:tmpl w:val="774AE5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A4088"/>
    <w:multiLevelType w:val="hybridMultilevel"/>
    <w:tmpl w:val="50449B8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45323A"/>
    <w:multiLevelType w:val="hybridMultilevel"/>
    <w:tmpl w:val="36B63F5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8679B4"/>
    <w:multiLevelType w:val="hybridMultilevel"/>
    <w:tmpl w:val="66AE76BA"/>
    <w:lvl w:ilvl="0" w:tplc="04160013">
      <w:start w:val="1"/>
      <w:numFmt w:val="upperRoman"/>
      <w:lvlText w:val="%1."/>
      <w:lvlJc w:val="righ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804725D"/>
    <w:multiLevelType w:val="hybridMultilevel"/>
    <w:tmpl w:val="AF086B7C"/>
    <w:lvl w:ilvl="0" w:tplc="0C3E0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B6363"/>
    <w:multiLevelType w:val="hybridMultilevel"/>
    <w:tmpl w:val="811C87B0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1">
      <w:start w:val="1"/>
      <w:numFmt w:val="decimal"/>
      <w:lvlText w:val="%2)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9E2D7A"/>
    <w:multiLevelType w:val="hybridMultilevel"/>
    <w:tmpl w:val="B768C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8"/>
  </w:num>
  <w:num w:numId="5">
    <w:abstractNumId w:val="24"/>
  </w:num>
  <w:num w:numId="6">
    <w:abstractNumId w:val="23"/>
  </w:num>
  <w:num w:numId="7">
    <w:abstractNumId w:val="17"/>
  </w:num>
  <w:num w:numId="8">
    <w:abstractNumId w:val="20"/>
  </w:num>
  <w:num w:numId="9">
    <w:abstractNumId w:val="21"/>
  </w:num>
  <w:num w:numId="10">
    <w:abstractNumId w:val="7"/>
  </w:num>
  <w:num w:numId="11">
    <w:abstractNumId w:val="1"/>
  </w:num>
  <w:num w:numId="12">
    <w:abstractNumId w:val="18"/>
  </w:num>
  <w:num w:numId="13">
    <w:abstractNumId w:val="3"/>
  </w:num>
  <w:num w:numId="14">
    <w:abstractNumId w:val="14"/>
  </w:num>
  <w:num w:numId="15">
    <w:abstractNumId w:val="2"/>
  </w:num>
  <w:num w:numId="16">
    <w:abstractNumId w:val="4"/>
  </w:num>
  <w:num w:numId="17">
    <w:abstractNumId w:val="12"/>
  </w:num>
  <w:num w:numId="18">
    <w:abstractNumId w:val="16"/>
  </w:num>
  <w:num w:numId="19">
    <w:abstractNumId w:val="15"/>
  </w:num>
  <w:num w:numId="20">
    <w:abstractNumId w:val="25"/>
  </w:num>
  <w:num w:numId="21">
    <w:abstractNumId w:val="22"/>
  </w:num>
  <w:num w:numId="22">
    <w:abstractNumId w:val="13"/>
  </w:num>
  <w:num w:numId="23">
    <w:abstractNumId w:val="5"/>
  </w:num>
  <w:num w:numId="24">
    <w:abstractNumId w:val="6"/>
  </w:num>
  <w:num w:numId="25">
    <w:abstractNumId w:val="10"/>
  </w:num>
  <w:num w:numId="2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00DB"/>
    <w:rsid w:val="0000688A"/>
    <w:rsid w:val="00007C1E"/>
    <w:rsid w:val="000204C7"/>
    <w:rsid w:val="00022434"/>
    <w:rsid w:val="00022C1E"/>
    <w:rsid w:val="00041E2A"/>
    <w:rsid w:val="00046B2F"/>
    <w:rsid w:val="00047921"/>
    <w:rsid w:val="00051091"/>
    <w:rsid w:val="00051954"/>
    <w:rsid w:val="00052E12"/>
    <w:rsid w:val="0005405B"/>
    <w:rsid w:val="000607B2"/>
    <w:rsid w:val="00061C83"/>
    <w:rsid w:val="00070B5C"/>
    <w:rsid w:val="00071ABF"/>
    <w:rsid w:val="00072B54"/>
    <w:rsid w:val="00075A4E"/>
    <w:rsid w:val="00077262"/>
    <w:rsid w:val="000805F9"/>
    <w:rsid w:val="00083C68"/>
    <w:rsid w:val="00090248"/>
    <w:rsid w:val="000930C7"/>
    <w:rsid w:val="00095E13"/>
    <w:rsid w:val="00096BF8"/>
    <w:rsid w:val="000A7690"/>
    <w:rsid w:val="000C0FBB"/>
    <w:rsid w:val="000C79D7"/>
    <w:rsid w:val="000D2062"/>
    <w:rsid w:val="000E14F9"/>
    <w:rsid w:val="000E6FF9"/>
    <w:rsid w:val="000F039A"/>
    <w:rsid w:val="000F0F9B"/>
    <w:rsid w:val="00102081"/>
    <w:rsid w:val="0010445B"/>
    <w:rsid w:val="00121C3E"/>
    <w:rsid w:val="001228A1"/>
    <w:rsid w:val="00125FCE"/>
    <w:rsid w:val="0012689F"/>
    <w:rsid w:val="00132CBE"/>
    <w:rsid w:val="001341ED"/>
    <w:rsid w:val="00154CDE"/>
    <w:rsid w:val="00164F61"/>
    <w:rsid w:val="00166C8A"/>
    <w:rsid w:val="00172F84"/>
    <w:rsid w:val="001808A3"/>
    <w:rsid w:val="001811FB"/>
    <w:rsid w:val="00182374"/>
    <w:rsid w:val="001912F7"/>
    <w:rsid w:val="00193012"/>
    <w:rsid w:val="0019616A"/>
    <w:rsid w:val="001A2140"/>
    <w:rsid w:val="001A25B5"/>
    <w:rsid w:val="001A2D21"/>
    <w:rsid w:val="001A5681"/>
    <w:rsid w:val="001B044F"/>
    <w:rsid w:val="001B169F"/>
    <w:rsid w:val="001B43CF"/>
    <w:rsid w:val="001B4D68"/>
    <w:rsid w:val="001C1781"/>
    <w:rsid w:val="001C1A60"/>
    <w:rsid w:val="001C2807"/>
    <w:rsid w:val="001D0925"/>
    <w:rsid w:val="001D1DB8"/>
    <w:rsid w:val="001D3F65"/>
    <w:rsid w:val="001E094B"/>
    <w:rsid w:val="001F0BE5"/>
    <w:rsid w:val="001F0D40"/>
    <w:rsid w:val="001F2028"/>
    <w:rsid w:val="001F605E"/>
    <w:rsid w:val="00205410"/>
    <w:rsid w:val="00207A8C"/>
    <w:rsid w:val="00211184"/>
    <w:rsid w:val="00214BB8"/>
    <w:rsid w:val="0021630D"/>
    <w:rsid w:val="002213E9"/>
    <w:rsid w:val="00227BC1"/>
    <w:rsid w:val="00236238"/>
    <w:rsid w:val="002365D3"/>
    <w:rsid w:val="002404EA"/>
    <w:rsid w:val="002556DF"/>
    <w:rsid w:val="00255DFC"/>
    <w:rsid w:val="00257073"/>
    <w:rsid w:val="00257519"/>
    <w:rsid w:val="00261C11"/>
    <w:rsid w:val="00261DD9"/>
    <w:rsid w:val="002623B8"/>
    <w:rsid w:val="00267999"/>
    <w:rsid w:val="00267ED2"/>
    <w:rsid w:val="0028327E"/>
    <w:rsid w:val="002835D0"/>
    <w:rsid w:val="002847FB"/>
    <w:rsid w:val="00284CEE"/>
    <w:rsid w:val="00294404"/>
    <w:rsid w:val="0029641E"/>
    <w:rsid w:val="002A0744"/>
    <w:rsid w:val="002A3568"/>
    <w:rsid w:val="002A3A33"/>
    <w:rsid w:val="002A42AC"/>
    <w:rsid w:val="002A7EF8"/>
    <w:rsid w:val="002C2D40"/>
    <w:rsid w:val="002C3670"/>
    <w:rsid w:val="002C5B31"/>
    <w:rsid w:val="002D0FFE"/>
    <w:rsid w:val="002D2A96"/>
    <w:rsid w:val="002D3099"/>
    <w:rsid w:val="002D5B53"/>
    <w:rsid w:val="002F1CC4"/>
    <w:rsid w:val="002F5D79"/>
    <w:rsid w:val="00301C1F"/>
    <w:rsid w:val="003055B6"/>
    <w:rsid w:val="00305F29"/>
    <w:rsid w:val="00306839"/>
    <w:rsid w:val="00307B46"/>
    <w:rsid w:val="00311C69"/>
    <w:rsid w:val="00314D48"/>
    <w:rsid w:val="00315E3D"/>
    <w:rsid w:val="00317BE4"/>
    <w:rsid w:val="0032080D"/>
    <w:rsid w:val="00322604"/>
    <w:rsid w:val="00324567"/>
    <w:rsid w:val="00325192"/>
    <w:rsid w:val="00331071"/>
    <w:rsid w:val="00331B4C"/>
    <w:rsid w:val="003372DA"/>
    <w:rsid w:val="003447C7"/>
    <w:rsid w:val="00354EA1"/>
    <w:rsid w:val="00355EA5"/>
    <w:rsid w:val="00360AB9"/>
    <w:rsid w:val="003635FC"/>
    <w:rsid w:val="003663EE"/>
    <w:rsid w:val="00371E02"/>
    <w:rsid w:val="0037223C"/>
    <w:rsid w:val="003741C4"/>
    <w:rsid w:val="00383D00"/>
    <w:rsid w:val="003848D8"/>
    <w:rsid w:val="00395BFD"/>
    <w:rsid w:val="003B5592"/>
    <w:rsid w:val="003B6560"/>
    <w:rsid w:val="003B70AD"/>
    <w:rsid w:val="003C2BB4"/>
    <w:rsid w:val="003D2456"/>
    <w:rsid w:val="003D4D6A"/>
    <w:rsid w:val="003D6307"/>
    <w:rsid w:val="003D6C31"/>
    <w:rsid w:val="003D782D"/>
    <w:rsid w:val="003E1B5E"/>
    <w:rsid w:val="003E6510"/>
    <w:rsid w:val="003F00C1"/>
    <w:rsid w:val="003F3928"/>
    <w:rsid w:val="003F5EC7"/>
    <w:rsid w:val="004008EF"/>
    <w:rsid w:val="004063B9"/>
    <w:rsid w:val="004129C1"/>
    <w:rsid w:val="00420693"/>
    <w:rsid w:val="00421FE2"/>
    <w:rsid w:val="0042391E"/>
    <w:rsid w:val="00425D2D"/>
    <w:rsid w:val="00427028"/>
    <w:rsid w:val="00431B1E"/>
    <w:rsid w:val="004402E2"/>
    <w:rsid w:val="00442A5F"/>
    <w:rsid w:val="00443988"/>
    <w:rsid w:val="00452B07"/>
    <w:rsid w:val="0045535D"/>
    <w:rsid w:val="00460545"/>
    <w:rsid w:val="00461DB4"/>
    <w:rsid w:val="00466F81"/>
    <w:rsid w:val="00472E47"/>
    <w:rsid w:val="00472EC2"/>
    <w:rsid w:val="00473CC6"/>
    <w:rsid w:val="004853DE"/>
    <w:rsid w:val="00487601"/>
    <w:rsid w:val="00490364"/>
    <w:rsid w:val="004903B9"/>
    <w:rsid w:val="00493387"/>
    <w:rsid w:val="00495734"/>
    <w:rsid w:val="004A07FF"/>
    <w:rsid w:val="004A29B5"/>
    <w:rsid w:val="004A3944"/>
    <w:rsid w:val="004B0733"/>
    <w:rsid w:val="004B0F8D"/>
    <w:rsid w:val="004B5B62"/>
    <w:rsid w:val="004B6C22"/>
    <w:rsid w:val="004B74B7"/>
    <w:rsid w:val="004C02D9"/>
    <w:rsid w:val="004C1802"/>
    <w:rsid w:val="004C36A0"/>
    <w:rsid w:val="004C5005"/>
    <w:rsid w:val="004C5495"/>
    <w:rsid w:val="004C643F"/>
    <w:rsid w:val="004D0371"/>
    <w:rsid w:val="004E0F09"/>
    <w:rsid w:val="004E4E2D"/>
    <w:rsid w:val="005014D7"/>
    <w:rsid w:val="0050349B"/>
    <w:rsid w:val="00506B98"/>
    <w:rsid w:val="00510542"/>
    <w:rsid w:val="00512C11"/>
    <w:rsid w:val="005156B9"/>
    <w:rsid w:val="00520D2A"/>
    <w:rsid w:val="00526E1E"/>
    <w:rsid w:val="005317D9"/>
    <w:rsid w:val="00536976"/>
    <w:rsid w:val="005448DE"/>
    <w:rsid w:val="00546450"/>
    <w:rsid w:val="00552026"/>
    <w:rsid w:val="00555382"/>
    <w:rsid w:val="00563D55"/>
    <w:rsid w:val="00567B46"/>
    <w:rsid w:val="0057086C"/>
    <w:rsid w:val="005711AA"/>
    <w:rsid w:val="005818DE"/>
    <w:rsid w:val="005833D9"/>
    <w:rsid w:val="00587065"/>
    <w:rsid w:val="005873E6"/>
    <w:rsid w:val="005906E9"/>
    <w:rsid w:val="00592343"/>
    <w:rsid w:val="005923DC"/>
    <w:rsid w:val="00595D4E"/>
    <w:rsid w:val="005969B3"/>
    <w:rsid w:val="00596E57"/>
    <w:rsid w:val="005A5A9F"/>
    <w:rsid w:val="005A7969"/>
    <w:rsid w:val="005B0281"/>
    <w:rsid w:val="005B1824"/>
    <w:rsid w:val="005B2199"/>
    <w:rsid w:val="005B666F"/>
    <w:rsid w:val="005D0AA8"/>
    <w:rsid w:val="005D0ED3"/>
    <w:rsid w:val="005D7E02"/>
    <w:rsid w:val="005F096C"/>
    <w:rsid w:val="005F1047"/>
    <w:rsid w:val="005F2146"/>
    <w:rsid w:val="005F4413"/>
    <w:rsid w:val="005F4EB6"/>
    <w:rsid w:val="00600807"/>
    <w:rsid w:val="00601058"/>
    <w:rsid w:val="00603A42"/>
    <w:rsid w:val="00603F8E"/>
    <w:rsid w:val="00604366"/>
    <w:rsid w:val="00614424"/>
    <w:rsid w:val="00614589"/>
    <w:rsid w:val="00614D0E"/>
    <w:rsid w:val="00615410"/>
    <w:rsid w:val="00615627"/>
    <w:rsid w:val="00620BA2"/>
    <w:rsid w:val="00621913"/>
    <w:rsid w:val="00624919"/>
    <w:rsid w:val="00633ECF"/>
    <w:rsid w:val="00635F4C"/>
    <w:rsid w:val="0064768C"/>
    <w:rsid w:val="00650F05"/>
    <w:rsid w:val="006522F6"/>
    <w:rsid w:val="0066299E"/>
    <w:rsid w:val="00662CE6"/>
    <w:rsid w:val="00662FB4"/>
    <w:rsid w:val="006638FF"/>
    <w:rsid w:val="00666513"/>
    <w:rsid w:val="006735CF"/>
    <w:rsid w:val="00680A0B"/>
    <w:rsid w:val="00681D6A"/>
    <w:rsid w:val="006829BF"/>
    <w:rsid w:val="00690C2B"/>
    <w:rsid w:val="00691A39"/>
    <w:rsid w:val="006945FF"/>
    <w:rsid w:val="006A0CED"/>
    <w:rsid w:val="006A1BDE"/>
    <w:rsid w:val="006A2718"/>
    <w:rsid w:val="006B36D8"/>
    <w:rsid w:val="006C0967"/>
    <w:rsid w:val="006C0C4E"/>
    <w:rsid w:val="006C126F"/>
    <w:rsid w:val="006C33F7"/>
    <w:rsid w:val="006D14FB"/>
    <w:rsid w:val="006D586D"/>
    <w:rsid w:val="006E5055"/>
    <w:rsid w:val="006E6B94"/>
    <w:rsid w:val="006F172C"/>
    <w:rsid w:val="00716B69"/>
    <w:rsid w:val="00721F1E"/>
    <w:rsid w:val="00724428"/>
    <w:rsid w:val="00724B59"/>
    <w:rsid w:val="00727C21"/>
    <w:rsid w:val="007355AE"/>
    <w:rsid w:val="00735DA6"/>
    <w:rsid w:val="00740C19"/>
    <w:rsid w:val="00744BED"/>
    <w:rsid w:val="00747422"/>
    <w:rsid w:val="0075357A"/>
    <w:rsid w:val="0076052B"/>
    <w:rsid w:val="00775663"/>
    <w:rsid w:val="00776E98"/>
    <w:rsid w:val="00776FF3"/>
    <w:rsid w:val="007771AB"/>
    <w:rsid w:val="00777AE7"/>
    <w:rsid w:val="00777CFB"/>
    <w:rsid w:val="00781F1E"/>
    <w:rsid w:val="00783DF5"/>
    <w:rsid w:val="007856AC"/>
    <w:rsid w:val="00794150"/>
    <w:rsid w:val="00795ED0"/>
    <w:rsid w:val="007A0B80"/>
    <w:rsid w:val="007A66E2"/>
    <w:rsid w:val="007A6B1A"/>
    <w:rsid w:val="007A7669"/>
    <w:rsid w:val="007B1EA1"/>
    <w:rsid w:val="007B2C46"/>
    <w:rsid w:val="007B5440"/>
    <w:rsid w:val="007B6CD0"/>
    <w:rsid w:val="007C006A"/>
    <w:rsid w:val="007C5990"/>
    <w:rsid w:val="007D1B8B"/>
    <w:rsid w:val="007D578D"/>
    <w:rsid w:val="007D7BB4"/>
    <w:rsid w:val="007E0FF6"/>
    <w:rsid w:val="007E11EC"/>
    <w:rsid w:val="007E22EA"/>
    <w:rsid w:val="007E3DD3"/>
    <w:rsid w:val="007E47B3"/>
    <w:rsid w:val="007E5EB9"/>
    <w:rsid w:val="007E7F7C"/>
    <w:rsid w:val="007F5362"/>
    <w:rsid w:val="007F6DC2"/>
    <w:rsid w:val="00802EE1"/>
    <w:rsid w:val="008059CE"/>
    <w:rsid w:val="00806A13"/>
    <w:rsid w:val="0081084A"/>
    <w:rsid w:val="008238DD"/>
    <w:rsid w:val="008241B8"/>
    <w:rsid w:val="00835828"/>
    <w:rsid w:val="0084049F"/>
    <w:rsid w:val="0084104F"/>
    <w:rsid w:val="008512FA"/>
    <w:rsid w:val="00861BB2"/>
    <w:rsid w:val="0086255A"/>
    <w:rsid w:val="00863E15"/>
    <w:rsid w:val="00873BD3"/>
    <w:rsid w:val="00875D99"/>
    <w:rsid w:val="0087669B"/>
    <w:rsid w:val="00881740"/>
    <w:rsid w:val="0088561E"/>
    <w:rsid w:val="00886B2C"/>
    <w:rsid w:val="0089208A"/>
    <w:rsid w:val="008A09A9"/>
    <w:rsid w:val="008A1356"/>
    <w:rsid w:val="008A5E3B"/>
    <w:rsid w:val="008A69EC"/>
    <w:rsid w:val="008B0AAF"/>
    <w:rsid w:val="008B5265"/>
    <w:rsid w:val="008B70F8"/>
    <w:rsid w:val="008C2CC2"/>
    <w:rsid w:val="008C306B"/>
    <w:rsid w:val="008C70A7"/>
    <w:rsid w:val="008D0FF2"/>
    <w:rsid w:val="008D366C"/>
    <w:rsid w:val="008D413B"/>
    <w:rsid w:val="008D6207"/>
    <w:rsid w:val="008E2D47"/>
    <w:rsid w:val="008F2288"/>
    <w:rsid w:val="008F36F2"/>
    <w:rsid w:val="008F41E0"/>
    <w:rsid w:val="008F46B6"/>
    <w:rsid w:val="008F4BF3"/>
    <w:rsid w:val="00902CAE"/>
    <w:rsid w:val="00902F6C"/>
    <w:rsid w:val="00911218"/>
    <w:rsid w:val="00912EF1"/>
    <w:rsid w:val="0091333E"/>
    <w:rsid w:val="00916DB5"/>
    <w:rsid w:val="009204A0"/>
    <w:rsid w:val="009211BB"/>
    <w:rsid w:val="00923626"/>
    <w:rsid w:val="00931522"/>
    <w:rsid w:val="00931CD9"/>
    <w:rsid w:val="009335A7"/>
    <w:rsid w:val="009517D9"/>
    <w:rsid w:val="00956F46"/>
    <w:rsid w:val="00960CCD"/>
    <w:rsid w:val="009620F1"/>
    <w:rsid w:val="00964767"/>
    <w:rsid w:val="00964F07"/>
    <w:rsid w:val="009653B7"/>
    <w:rsid w:val="00966DD2"/>
    <w:rsid w:val="0096746B"/>
    <w:rsid w:val="0097202A"/>
    <w:rsid w:val="009724C3"/>
    <w:rsid w:val="00972699"/>
    <w:rsid w:val="00976328"/>
    <w:rsid w:val="00992AD5"/>
    <w:rsid w:val="00994226"/>
    <w:rsid w:val="00997B4A"/>
    <w:rsid w:val="009A21E7"/>
    <w:rsid w:val="009A2393"/>
    <w:rsid w:val="009A3829"/>
    <w:rsid w:val="009A7B66"/>
    <w:rsid w:val="009A7D60"/>
    <w:rsid w:val="009B237C"/>
    <w:rsid w:val="009B555C"/>
    <w:rsid w:val="009B64F6"/>
    <w:rsid w:val="009C05D0"/>
    <w:rsid w:val="009C1B28"/>
    <w:rsid w:val="009C24E4"/>
    <w:rsid w:val="009C3B6D"/>
    <w:rsid w:val="009C4BF9"/>
    <w:rsid w:val="009C6033"/>
    <w:rsid w:val="009D278B"/>
    <w:rsid w:val="009D7C8C"/>
    <w:rsid w:val="009E6668"/>
    <w:rsid w:val="009F4CF3"/>
    <w:rsid w:val="009F563F"/>
    <w:rsid w:val="009F61BF"/>
    <w:rsid w:val="00A06D4C"/>
    <w:rsid w:val="00A102FB"/>
    <w:rsid w:val="00A1111C"/>
    <w:rsid w:val="00A2106A"/>
    <w:rsid w:val="00A2458F"/>
    <w:rsid w:val="00A26D09"/>
    <w:rsid w:val="00A30820"/>
    <w:rsid w:val="00A33DD4"/>
    <w:rsid w:val="00A36900"/>
    <w:rsid w:val="00A370EC"/>
    <w:rsid w:val="00A411F6"/>
    <w:rsid w:val="00A418D2"/>
    <w:rsid w:val="00A43AF5"/>
    <w:rsid w:val="00A500F3"/>
    <w:rsid w:val="00A511BF"/>
    <w:rsid w:val="00A530B3"/>
    <w:rsid w:val="00A5584C"/>
    <w:rsid w:val="00A63F98"/>
    <w:rsid w:val="00A64547"/>
    <w:rsid w:val="00A73365"/>
    <w:rsid w:val="00A7622D"/>
    <w:rsid w:val="00A77B66"/>
    <w:rsid w:val="00A92CFE"/>
    <w:rsid w:val="00AA1366"/>
    <w:rsid w:val="00AA361A"/>
    <w:rsid w:val="00AA3711"/>
    <w:rsid w:val="00AA47E7"/>
    <w:rsid w:val="00AB0572"/>
    <w:rsid w:val="00AB2BE8"/>
    <w:rsid w:val="00AC5593"/>
    <w:rsid w:val="00AC5CB6"/>
    <w:rsid w:val="00AC641A"/>
    <w:rsid w:val="00AD5CAC"/>
    <w:rsid w:val="00AD7342"/>
    <w:rsid w:val="00AE2009"/>
    <w:rsid w:val="00AF1E09"/>
    <w:rsid w:val="00B00CEF"/>
    <w:rsid w:val="00B00D3F"/>
    <w:rsid w:val="00B058D6"/>
    <w:rsid w:val="00B17197"/>
    <w:rsid w:val="00B20BE3"/>
    <w:rsid w:val="00B23A9C"/>
    <w:rsid w:val="00B25B40"/>
    <w:rsid w:val="00B26F5E"/>
    <w:rsid w:val="00B356C1"/>
    <w:rsid w:val="00B404DC"/>
    <w:rsid w:val="00B43068"/>
    <w:rsid w:val="00B4676C"/>
    <w:rsid w:val="00B54D25"/>
    <w:rsid w:val="00B57D8B"/>
    <w:rsid w:val="00B60E71"/>
    <w:rsid w:val="00B63AFD"/>
    <w:rsid w:val="00B67E6D"/>
    <w:rsid w:val="00B70F33"/>
    <w:rsid w:val="00B717D2"/>
    <w:rsid w:val="00B754EA"/>
    <w:rsid w:val="00B770EB"/>
    <w:rsid w:val="00B95D91"/>
    <w:rsid w:val="00BA5065"/>
    <w:rsid w:val="00BB0681"/>
    <w:rsid w:val="00BB44AC"/>
    <w:rsid w:val="00BB5E50"/>
    <w:rsid w:val="00BC4215"/>
    <w:rsid w:val="00BD0512"/>
    <w:rsid w:val="00BD06E6"/>
    <w:rsid w:val="00BD15F4"/>
    <w:rsid w:val="00BD3C89"/>
    <w:rsid w:val="00BD40A5"/>
    <w:rsid w:val="00BD420F"/>
    <w:rsid w:val="00BD4CB2"/>
    <w:rsid w:val="00BD4E99"/>
    <w:rsid w:val="00BD4F36"/>
    <w:rsid w:val="00BD6429"/>
    <w:rsid w:val="00BE3F2F"/>
    <w:rsid w:val="00BE6EA9"/>
    <w:rsid w:val="00BF3F1B"/>
    <w:rsid w:val="00BF4844"/>
    <w:rsid w:val="00BF7C16"/>
    <w:rsid w:val="00C0102D"/>
    <w:rsid w:val="00C03F30"/>
    <w:rsid w:val="00C0667E"/>
    <w:rsid w:val="00C159BF"/>
    <w:rsid w:val="00C164F7"/>
    <w:rsid w:val="00C22388"/>
    <w:rsid w:val="00C228D2"/>
    <w:rsid w:val="00C23367"/>
    <w:rsid w:val="00C30D2E"/>
    <w:rsid w:val="00C42619"/>
    <w:rsid w:val="00C44822"/>
    <w:rsid w:val="00C50991"/>
    <w:rsid w:val="00C57005"/>
    <w:rsid w:val="00C60A8C"/>
    <w:rsid w:val="00C67BFC"/>
    <w:rsid w:val="00C74A2E"/>
    <w:rsid w:val="00C75A07"/>
    <w:rsid w:val="00C76706"/>
    <w:rsid w:val="00C77902"/>
    <w:rsid w:val="00C8238D"/>
    <w:rsid w:val="00C85137"/>
    <w:rsid w:val="00C947ED"/>
    <w:rsid w:val="00C97164"/>
    <w:rsid w:val="00CA2466"/>
    <w:rsid w:val="00CB7A31"/>
    <w:rsid w:val="00CE695D"/>
    <w:rsid w:val="00CF0D0E"/>
    <w:rsid w:val="00CF4A55"/>
    <w:rsid w:val="00CF7648"/>
    <w:rsid w:val="00D03ABA"/>
    <w:rsid w:val="00D0666A"/>
    <w:rsid w:val="00D072D1"/>
    <w:rsid w:val="00D15EB4"/>
    <w:rsid w:val="00D21DA3"/>
    <w:rsid w:val="00D22C6B"/>
    <w:rsid w:val="00D26023"/>
    <w:rsid w:val="00D26B00"/>
    <w:rsid w:val="00D27D81"/>
    <w:rsid w:val="00D37B3A"/>
    <w:rsid w:val="00D40569"/>
    <w:rsid w:val="00D40707"/>
    <w:rsid w:val="00D462BB"/>
    <w:rsid w:val="00D51C9F"/>
    <w:rsid w:val="00D52569"/>
    <w:rsid w:val="00D53604"/>
    <w:rsid w:val="00D54063"/>
    <w:rsid w:val="00D5426B"/>
    <w:rsid w:val="00D543AD"/>
    <w:rsid w:val="00D64B5F"/>
    <w:rsid w:val="00D73F72"/>
    <w:rsid w:val="00D74D09"/>
    <w:rsid w:val="00D82492"/>
    <w:rsid w:val="00D82D18"/>
    <w:rsid w:val="00D83CA1"/>
    <w:rsid w:val="00D919CF"/>
    <w:rsid w:val="00D94FFB"/>
    <w:rsid w:val="00D96832"/>
    <w:rsid w:val="00D97CE8"/>
    <w:rsid w:val="00DA099E"/>
    <w:rsid w:val="00DB1A4F"/>
    <w:rsid w:val="00DB771E"/>
    <w:rsid w:val="00DC1410"/>
    <w:rsid w:val="00DD6CCB"/>
    <w:rsid w:val="00DE3AE1"/>
    <w:rsid w:val="00DE4DA4"/>
    <w:rsid w:val="00DE4FBD"/>
    <w:rsid w:val="00DF189F"/>
    <w:rsid w:val="00DF38DC"/>
    <w:rsid w:val="00DF4A49"/>
    <w:rsid w:val="00E025F5"/>
    <w:rsid w:val="00E02D7F"/>
    <w:rsid w:val="00E1315F"/>
    <w:rsid w:val="00E156FE"/>
    <w:rsid w:val="00E23ACF"/>
    <w:rsid w:val="00E32A22"/>
    <w:rsid w:val="00E3422A"/>
    <w:rsid w:val="00E35235"/>
    <w:rsid w:val="00E412AD"/>
    <w:rsid w:val="00E51687"/>
    <w:rsid w:val="00E533AB"/>
    <w:rsid w:val="00E53AF0"/>
    <w:rsid w:val="00E605F9"/>
    <w:rsid w:val="00E6497E"/>
    <w:rsid w:val="00E6518A"/>
    <w:rsid w:val="00E71745"/>
    <w:rsid w:val="00E77658"/>
    <w:rsid w:val="00E950E4"/>
    <w:rsid w:val="00EA33D6"/>
    <w:rsid w:val="00EA4CE3"/>
    <w:rsid w:val="00EA5075"/>
    <w:rsid w:val="00EB1080"/>
    <w:rsid w:val="00EB25BE"/>
    <w:rsid w:val="00EB645E"/>
    <w:rsid w:val="00EC7A62"/>
    <w:rsid w:val="00ED034B"/>
    <w:rsid w:val="00ED0A61"/>
    <w:rsid w:val="00ED2D25"/>
    <w:rsid w:val="00EE0FC2"/>
    <w:rsid w:val="00EE34C0"/>
    <w:rsid w:val="00EF0355"/>
    <w:rsid w:val="00F118B6"/>
    <w:rsid w:val="00F1702D"/>
    <w:rsid w:val="00F27098"/>
    <w:rsid w:val="00F31951"/>
    <w:rsid w:val="00F34705"/>
    <w:rsid w:val="00F457CC"/>
    <w:rsid w:val="00F6127B"/>
    <w:rsid w:val="00F717E6"/>
    <w:rsid w:val="00F74CB4"/>
    <w:rsid w:val="00F80D54"/>
    <w:rsid w:val="00F8134E"/>
    <w:rsid w:val="00F8403C"/>
    <w:rsid w:val="00F850ED"/>
    <w:rsid w:val="00F86FB7"/>
    <w:rsid w:val="00F93679"/>
    <w:rsid w:val="00FA002E"/>
    <w:rsid w:val="00FA4879"/>
    <w:rsid w:val="00FA49B3"/>
    <w:rsid w:val="00FA59DC"/>
    <w:rsid w:val="00FB1943"/>
    <w:rsid w:val="00FB6F3C"/>
    <w:rsid w:val="00FE330A"/>
    <w:rsid w:val="00FF047A"/>
    <w:rsid w:val="00FF1535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B46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1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46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eriod">
    <w:name w:val="period"/>
    <w:basedOn w:val="Fontepargpadro"/>
    <w:rsid w:val="00B4676C"/>
  </w:style>
  <w:style w:type="character" w:customStyle="1" w:styleId="cit">
    <w:name w:val="cit"/>
    <w:basedOn w:val="Fontepargpadro"/>
    <w:rsid w:val="00B4676C"/>
  </w:style>
  <w:style w:type="character" w:customStyle="1" w:styleId="citation-doi">
    <w:name w:val="citation-doi"/>
    <w:basedOn w:val="Fontepargpadro"/>
    <w:rsid w:val="00B4676C"/>
  </w:style>
  <w:style w:type="character" w:customStyle="1" w:styleId="authors-list-item">
    <w:name w:val="authors-list-item"/>
    <w:basedOn w:val="Fontepargpadro"/>
    <w:rsid w:val="00B4676C"/>
  </w:style>
  <w:style w:type="character" w:customStyle="1" w:styleId="author-sup-separator">
    <w:name w:val="author-sup-separator"/>
    <w:basedOn w:val="Fontepargpadro"/>
    <w:rsid w:val="00B4676C"/>
  </w:style>
  <w:style w:type="character" w:customStyle="1" w:styleId="comma">
    <w:name w:val="comma"/>
    <w:basedOn w:val="Fontepargpadro"/>
    <w:rsid w:val="00B4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6EA1-7022-4275-A35B-2F750B49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8903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Viviane Oliveira de Sousa Correia</cp:lastModifiedBy>
  <cp:revision>3</cp:revision>
  <cp:lastPrinted>2024-05-07T14:41:00Z</cp:lastPrinted>
  <dcterms:created xsi:type="dcterms:W3CDTF">2024-05-07T14:40:00Z</dcterms:created>
  <dcterms:modified xsi:type="dcterms:W3CDTF">2024-05-07T14:41:00Z</dcterms:modified>
</cp:coreProperties>
</file>