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064" w:type="dxa"/>
        <w:tblLook w:val="04A0" w:firstRow="1" w:lastRow="0" w:firstColumn="1" w:lastColumn="0" w:noHBand="0" w:noVBand="1"/>
      </w:tblPr>
      <w:tblGrid>
        <w:gridCol w:w="2165"/>
        <w:gridCol w:w="6899"/>
      </w:tblGrid>
      <w:tr w:rsidR="005060B6" w:rsidRPr="00BA08EA" w14:paraId="3A77DD99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514AB7BE" w14:textId="27E0CD38" w:rsidR="005060B6" w:rsidRPr="00BA08EA" w:rsidRDefault="00D42A25" w:rsidP="005060B6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DEFINIÇÕES</w:t>
            </w:r>
            <w:r w:rsidR="00AD17D8">
              <w:rPr>
                <w:rFonts w:cs="Calibri"/>
                <w:b/>
                <w:bCs/>
              </w:rPr>
              <w:t xml:space="preserve"> E </w:t>
            </w:r>
            <w:r>
              <w:rPr>
                <w:rFonts w:cs="Calibri"/>
                <w:b/>
                <w:bCs/>
              </w:rPr>
              <w:t>EPIDEMIOLOGIA</w:t>
            </w:r>
          </w:p>
        </w:tc>
      </w:tr>
      <w:tr w:rsidR="006D3C90" w14:paraId="042FBC84" w14:textId="77777777" w:rsidTr="0013777A">
        <w:tc>
          <w:tcPr>
            <w:tcW w:w="9064" w:type="dxa"/>
            <w:gridSpan w:val="2"/>
          </w:tcPr>
          <w:p w14:paraId="1317694F" w14:textId="3FF73F16" w:rsidR="00244D3C" w:rsidRPr="005060B6" w:rsidRDefault="0056749D" w:rsidP="0050073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Dor é definida como sensação desagradável</w:t>
            </w:r>
            <w:r w:rsidR="00500733">
              <w:rPr>
                <w:rFonts w:cs="Calibri"/>
              </w:rPr>
              <w:t>,</w:t>
            </w:r>
            <w:r w:rsidR="00EE7FCE">
              <w:rPr>
                <w:rFonts w:cs="Calibri"/>
              </w:rPr>
              <w:t xml:space="preserve"> e sua avaliação é subjetiva.</w:t>
            </w:r>
            <w:r>
              <w:rPr>
                <w:rFonts w:cs="Calibri"/>
              </w:rPr>
              <w:t xml:space="preserve"> </w:t>
            </w:r>
            <w:r w:rsidR="00702D29">
              <w:rPr>
                <w:rFonts w:cs="Calibri"/>
              </w:rPr>
              <w:t>A dor é um evento c</w:t>
            </w:r>
            <w:r>
              <w:rPr>
                <w:rFonts w:cs="Calibri"/>
              </w:rPr>
              <w:t>omum no pós-operatório</w:t>
            </w:r>
            <w:r w:rsidR="00702D29">
              <w:rPr>
                <w:rFonts w:cs="Calibri"/>
              </w:rPr>
              <w:t xml:space="preserve">, </w:t>
            </w:r>
            <w:r w:rsidR="00500733">
              <w:rPr>
                <w:rFonts w:cs="Calibri"/>
              </w:rPr>
              <w:t>portanto é</w:t>
            </w:r>
            <w:r w:rsidR="00702D29">
              <w:rPr>
                <w:rFonts w:cs="Calibri"/>
              </w:rPr>
              <w:t xml:space="preserve"> esperado que cerca de 60% das </w:t>
            </w:r>
            <w:r w:rsidR="00500733">
              <w:rPr>
                <w:rFonts w:cs="Calibri"/>
              </w:rPr>
              <w:t>pacientes submetidas à</w:t>
            </w:r>
            <w:r w:rsidR="00702D29">
              <w:rPr>
                <w:rFonts w:cs="Calibri"/>
              </w:rPr>
              <w:t xml:space="preserve"> cesariana aprese</w:t>
            </w:r>
            <w:r w:rsidR="002277C8">
              <w:rPr>
                <w:rFonts w:cs="Calibri"/>
              </w:rPr>
              <w:t xml:space="preserve">ntem queixas de dor, sendo que </w:t>
            </w:r>
            <w:r w:rsidR="00702D29">
              <w:rPr>
                <w:rFonts w:cs="Calibri"/>
              </w:rPr>
              <w:t>10% destas apresentam dor intensa</w:t>
            </w:r>
            <w:r w:rsidR="00690955">
              <w:rPr>
                <w:rFonts w:cs="Calibri"/>
              </w:rPr>
              <w:t>, mais comum cerca de 6 horas após o procedimento.</w:t>
            </w:r>
          </w:p>
        </w:tc>
      </w:tr>
      <w:tr w:rsidR="006D3C90" w:rsidRPr="00BA08EA" w14:paraId="0ECB8A88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0BBA8D4D" w14:textId="5609FDB1" w:rsidR="006D3C90" w:rsidRPr="00BA08EA" w:rsidRDefault="00D42A25" w:rsidP="00BA08EA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OBJETIVO DO TRATAMENTO</w:t>
            </w:r>
          </w:p>
        </w:tc>
      </w:tr>
      <w:tr w:rsidR="007C4991" w:rsidRPr="00BA08EA" w14:paraId="28CDFB70" w14:textId="77777777" w:rsidTr="0013777A">
        <w:trPr>
          <w:trHeight w:val="888"/>
        </w:trPr>
        <w:tc>
          <w:tcPr>
            <w:tcW w:w="9064" w:type="dxa"/>
            <w:gridSpan w:val="2"/>
          </w:tcPr>
          <w:p w14:paraId="053A4DF9" w14:textId="12F14E44" w:rsidR="00244D3C" w:rsidRPr="00500733" w:rsidRDefault="0056749D" w:rsidP="00500733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O manejo inadequado da dor durante o internamento e pós-operatório pode contribuir para a morbidade dos pacientes, resultando em prolongamento da internação e atraso ao retorno das atividades diárias, além de aumentar o risco de dor crônica e síndrome do estresse pós-traumático.</w:t>
            </w:r>
          </w:p>
        </w:tc>
      </w:tr>
      <w:tr w:rsidR="0056749D" w:rsidRPr="00BA08EA" w14:paraId="4BD426A5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4A7028A5" w14:textId="454D520A" w:rsidR="0056749D" w:rsidRPr="00BA08EA" w:rsidRDefault="0056749D" w:rsidP="009327BD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MATERIAIS E INSTRUMENTOS</w:t>
            </w:r>
          </w:p>
        </w:tc>
      </w:tr>
      <w:tr w:rsidR="0056749D" w:rsidRPr="005060B6" w14:paraId="0FFAFF0E" w14:textId="77777777" w:rsidTr="0013777A">
        <w:tc>
          <w:tcPr>
            <w:tcW w:w="9064" w:type="dxa"/>
            <w:gridSpan w:val="2"/>
          </w:tcPr>
          <w:p w14:paraId="24DB6694" w14:textId="1B4E17EE" w:rsidR="0056749D" w:rsidRPr="005060B6" w:rsidRDefault="00BC5F39" w:rsidP="00F700E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Escala de avaliação da dor (numérica, descritiva e facial)</w:t>
            </w:r>
            <w:r w:rsidR="00500733">
              <w:rPr>
                <w:rFonts w:cs="Calibri"/>
              </w:rPr>
              <w:t>;</w:t>
            </w:r>
          </w:p>
        </w:tc>
      </w:tr>
      <w:tr w:rsidR="0056749D" w:rsidRPr="005060B6" w14:paraId="38AAE229" w14:textId="77777777" w:rsidTr="0013777A">
        <w:tc>
          <w:tcPr>
            <w:tcW w:w="9064" w:type="dxa"/>
            <w:gridSpan w:val="2"/>
          </w:tcPr>
          <w:p w14:paraId="493CB2F9" w14:textId="52A8DBAC" w:rsidR="0056749D" w:rsidRDefault="0056749D" w:rsidP="00F700E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Formulário para anotação de sinais vitais e alerta precoce</w:t>
            </w:r>
            <w:r w:rsidR="00500733">
              <w:rPr>
                <w:rFonts w:cs="Calibri"/>
              </w:rPr>
              <w:t xml:space="preserve"> (FORM.DT.017 – ALERTA PRECOCE NEONATOLOGIA </w:t>
            </w:r>
            <w:r w:rsidR="0013777A">
              <w:rPr>
                <w:rFonts w:cs="Calibri"/>
              </w:rPr>
              <w:t>ou</w:t>
            </w:r>
            <w:r w:rsidR="00500733">
              <w:rPr>
                <w:rFonts w:cs="Calibri"/>
              </w:rPr>
              <w:t xml:space="preserve"> </w:t>
            </w:r>
            <w:r w:rsidR="0013777A">
              <w:rPr>
                <w:rFonts w:cs="Calibri"/>
              </w:rPr>
              <w:t>FORM.DT.018 – ALERTA PRECOCE OBSTETRÍCIA).</w:t>
            </w:r>
          </w:p>
        </w:tc>
      </w:tr>
      <w:tr w:rsidR="0056749D" w:rsidRPr="00BA08EA" w14:paraId="58A2169B" w14:textId="77777777" w:rsidTr="00AD17D8">
        <w:trPr>
          <w:trHeight w:val="222"/>
        </w:trPr>
        <w:tc>
          <w:tcPr>
            <w:tcW w:w="9064" w:type="dxa"/>
            <w:gridSpan w:val="2"/>
            <w:shd w:val="clear" w:color="auto" w:fill="E7E6E6" w:themeFill="background2"/>
          </w:tcPr>
          <w:p w14:paraId="5B2C96CD" w14:textId="01393B35" w:rsidR="00244D3C" w:rsidRPr="00BA08EA" w:rsidRDefault="00AD17D8" w:rsidP="00AD17D8">
            <w:pPr>
              <w:spacing w:after="0" w:line="259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PROTOCOLO</w:t>
            </w:r>
          </w:p>
        </w:tc>
      </w:tr>
      <w:tr w:rsidR="009465F6" w:rsidRPr="003B1833" w14:paraId="4D47A95F" w14:textId="77777777" w:rsidTr="0013777A">
        <w:tc>
          <w:tcPr>
            <w:tcW w:w="2165" w:type="dxa"/>
            <w:vMerge w:val="restart"/>
            <w:shd w:val="clear" w:color="auto" w:fill="FFFFFF" w:themeFill="background1"/>
          </w:tcPr>
          <w:p w14:paraId="2A485221" w14:textId="77777777" w:rsidR="009465F6" w:rsidRDefault="009465F6" w:rsidP="00EA28F9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  <w:p w14:paraId="4D007F13" w14:textId="77777777" w:rsidR="0013777A" w:rsidRDefault="0013777A" w:rsidP="0013777A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30243DD0" w14:textId="77777777" w:rsidR="0013777A" w:rsidRDefault="0013777A" w:rsidP="0013777A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00D347FC" w14:textId="77777777" w:rsidR="0013777A" w:rsidRDefault="0013777A" w:rsidP="0013777A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1E59B377" w14:textId="77777777" w:rsidR="0013777A" w:rsidRDefault="0013777A" w:rsidP="0013777A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2676B2D7" w14:textId="291ED18C" w:rsidR="009465F6" w:rsidRPr="0013777A" w:rsidRDefault="0013777A" w:rsidP="0013777A">
            <w:pPr>
              <w:spacing w:after="0" w:line="259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Médico assistente</w:t>
            </w:r>
            <w:r w:rsidR="009A0DF3" w:rsidRPr="0013777A">
              <w:rPr>
                <w:rFonts w:cs="Calibri"/>
                <w:bCs/>
              </w:rPr>
              <w:t xml:space="preserve"> </w:t>
            </w:r>
          </w:p>
        </w:tc>
        <w:tc>
          <w:tcPr>
            <w:tcW w:w="6899" w:type="dxa"/>
            <w:shd w:val="clear" w:color="auto" w:fill="FFFFFF" w:themeFill="background1"/>
          </w:tcPr>
          <w:p w14:paraId="3EC720E3" w14:textId="50896E3E" w:rsidR="00BC5F39" w:rsidRPr="0013777A" w:rsidRDefault="009465F6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Prescreve</w:t>
            </w:r>
            <w:r w:rsidR="0013777A">
              <w:rPr>
                <w:rFonts w:cs="Calibri"/>
              </w:rPr>
              <w:t>r</w:t>
            </w:r>
            <w:r w:rsidRPr="0013777A">
              <w:rPr>
                <w:rFonts w:cs="Calibri"/>
              </w:rPr>
              <w:t xml:space="preserve"> corretamente </w:t>
            </w:r>
            <w:r w:rsidR="00BC5F39" w:rsidRPr="0013777A">
              <w:rPr>
                <w:rFonts w:cs="Calibri"/>
              </w:rPr>
              <w:t>as medicações para dor:</w:t>
            </w:r>
          </w:p>
          <w:p w14:paraId="4A859B87" w14:textId="2AC05D0F" w:rsidR="009465F6" w:rsidRDefault="00BC5F39" w:rsidP="00F700E1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Preferencialmente, quando possível uma </w:t>
            </w:r>
            <w:r w:rsidRPr="00213438">
              <w:rPr>
                <w:rFonts w:cs="Calibri"/>
                <w:b/>
              </w:rPr>
              <w:t>associação</w:t>
            </w:r>
            <w:r>
              <w:rPr>
                <w:rFonts w:cs="Calibri"/>
              </w:rPr>
              <w:t xml:space="preserve"> de anti-inflamatório (AINE), associado a analgésicos (dipirona ou paracetamol) para manejo de dor leve a moderada;</w:t>
            </w:r>
          </w:p>
          <w:p w14:paraId="74960916" w14:textId="774B8919" w:rsidR="009465F6" w:rsidRPr="002A231C" w:rsidRDefault="009465F6" w:rsidP="00F700E1">
            <w:pPr>
              <w:pStyle w:val="PargrafodaLista"/>
              <w:numPr>
                <w:ilvl w:val="1"/>
                <w:numId w:val="17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Manter um </w:t>
            </w:r>
            <w:proofErr w:type="spellStart"/>
            <w:r w:rsidR="00DE4E04">
              <w:rPr>
                <w:rFonts w:cs="Calibri"/>
              </w:rPr>
              <w:t>opióide</w:t>
            </w:r>
            <w:proofErr w:type="spellEnd"/>
            <w:r w:rsidR="00DE4E04">
              <w:rPr>
                <w:rFonts w:cs="Calibri"/>
              </w:rPr>
              <w:t xml:space="preserve"> leve, prescrito</w:t>
            </w:r>
            <w:r w:rsidR="002A231C">
              <w:rPr>
                <w:rFonts w:cs="Calibri"/>
              </w:rPr>
              <w:t xml:space="preserve"> SE NECESSÁRIO</w:t>
            </w:r>
            <w:r w:rsidRPr="002A231C">
              <w:rPr>
                <w:rFonts w:cs="Calibri"/>
              </w:rPr>
              <w:t xml:space="preserve"> para dor </w:t>
            </w:r>
            <w:r w:rsidR="00BC5F39" w:rsidRPr="002A231C">
              <w:rPr>
                <w:rFonts w:cs="Calibri"/>
              </w:rPr>
              <w:t>mais intensa n</w:t>
            </w:r>
            <w:r w:rsidR="002A231C">
              <w:rPr>
                <w:rFonts w:cs="Calibri"/>
              </w:rPr>
              <w:t>ão responsiva:</w:t>
            </w:r>
          </w:p>
          <w:p w14:paraId="76E34D87" w14:textId="73DBC908" w:rsidR="009465F6" w:rsidRDefault="009465F6" w:rsidP="00F700E1">
            <w:pPr>
              <w:pStyle w:val="PargrafodaLista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proofErr w:type="gramStart"/>
            <w:r>
              <w:rPr>
                <w:rFonts w:cs="Calibri"/>
              </w:rPr>
              <w:t>tramadol</w:t>
            </w:r>
            <w:proofErr w:type="spellEnd"/>
            <w:proofErr w:type="gramEnd"/>
            <w:r>
              <w:rPr>
                <w:rFonts w:cs="Calibri"/>
              </w:rPr>
              <w:t>: PREFERENCIAL</w:t>
            </w:r>
            <w:r w:rsidR="0013777A">
              <w:rPr>
                <w:rFonts w:cs="Calibri"/>
              </w:rPr>
              <w:t>;</w:t>
            </w:r>
          </w:p>
          <w:p w14:paraId="4BA14A18" w14:textId="77777777" w:rsidR="009465F6" w:rsidRDefault="009465F6" w:rsidP="00F700E1">
            <w:pPr>
              <w:pStyle w:val="PargrafodaLista"/>
              <w:numPr>
                <w:ilvl w:val="2"/>
                <w:numId w:val="17"/>
              </w:numPr>
              <w:spacing w:after="0" w:line="240" w:lineRule="auto"/>
              <w:jc w:val="both"/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morfina</w:t>
            </w:r>
            <w:proofErr w:type="gramEnd"/>
            <w:r w:rsidR="0013777A">
              <w:rPr>
                <w:rFonts w:cs="Calibri"/>
              </w:rPr>
              <w:t>;</w:t>
            </w:r>
          </w:p>
          <w:p w14:paraId="32B7B92C" w14:textId="6041F4B7" w:rsidR="0013777A" w:rsidRPr="0013777A" w:rsidRDefault="0013777A" w:rsidP="00F700E1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Atenção ao risco de alergia (conferir pulseiras)</w:t>
            </w:r>
            <w:r>
              <w:rPr>
                <w:rFonts w:cs="Calibri"/>
              </w:rPr>
              <w:t>;</w:t>
            </w:r>
          </w:p>
        </w:tc>
      </w:tr>
      <w:tr w:rsidR="009465F6" w:rsidRPr="003B1833" w14:paraId="17BE481B" w14:textId="77777777" w:rsidTr="0013777A">
        <w:trPr>
          <w:trHeight w:val="894"/>
        </w:trPr>
        <w:tc>
          <w:tcPr>
            <w:tcW w:w="2165" w:type="dxa"/>
            <w:vMerge/>
            <w:shd w:val="clear" w:color="auto" w:fill="FFFFFF" w:themeFill="background1"/>
          </w:tcPr>
          <w:p w14:paraId="513979ED" w14:textId="77777777" w:rsidR="009465F6" w:rsidRDefault="009465F6" w:rsidP="00EA28F9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26236424" w14:textId="29B49E85" w:rsidR="009465F6" w:rsidRPr="0013777A" w:rsidRDefault="009465F6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Não</w:t>
            </w:r>
            <w:r w:rsidR="00BB727A" w:rsidRPr="0013777A">
              <w:rPr>
                <w:rFonts w:cs="Calibri"/>
              </w:rPr>
              <w:t xml:space="preserve"> fazer a</w:t>
            </w:r>
            <w:r w:rsidRPr="0013777A">
              <w:rPr>
                <w:rFonts w:cs="Calibri"/>
              </w:rPr>
              <w:t xml:space="preserve"> prescrição</w:t>
            </w:r>
            <w:r w:rsidR="00BB727A" w:rsidRPr="0013777A">
              <w:rPr>
                <w:rFonts w:cs="Calibri"/>
              </w:rPr>
              <w:t xml:space="preserve"> de</w:t>
            </w:r>
            <w:r w:rsidRPr="0013777A">
              <w:rPr>
                <w:rFonts w:cs="Calibri"/>
              </w:rPr>
              <w:t xml:space="preserve"> </w:t>
            </w:r>
            <w:r w:rsidR="002A231C" w:rsidRPr="0013777A">
              <w:rPr>
                <w:rFonts w:cs="Calibri"/>
              </w:rPr>
              <w:t xml:space="preserve">analgesia </w:t>
            </w:r>
            <w:r w:rsidRPr="0013777A">
              <w:rPr>
                <w:rFonts w:cs="Calibri"/>
              </w:rPr>
              <w:t>ACM ou SOS, preferir os termos:</w:t>
            </w:r>
          </w:p>
          <w:p w14:paraId="1B333D2B" w14:textId="69F27E1D" w:rsidR="0013777A" w:rsidRPr="0013777A" w:rsidRDefault="009465F6" w:rsidP="00F700E1">
            <w:pPr>
              <w:pStyle w:val="PargrafodaLista"/>
              <w:spacing w:after="0" w:line="240" w:lineRule="auto"/>
              <w:ind w:left="360"/>
              <w:jc w:val="both"/>
              <w:rPr>
                <w:rFonts w:cs="Calibri"/>
              </w:rPr>
            </w:pPr>
            <w:r>
              <w:rPr>
                <w:rFonts w:cs="Calibri"/>
              </w:rPr>
              <w:t>“</w:t>
            </w:r>
            <w:proofErr w:type="spellStart"/>
            <w:r w:rsidR="002A231C">
              <w:rPr>
                <w:rFonts w:cs="Calibri"/>
              </w:rPr>
              <w:t>Tramadol</w:t>
            </w:r>
            <w:proofErr w:type="spellEnd"/>
            <w:r>
              <w:rPr>
                <w:rFonts w:cs="Calibri"/>
              </w:rPr>
              <w:t xml:space="preserve"> </w:t>
            </w:r>
            <w:r w:rsidR="002A231C">
              <w:rPr>
                <w:rFonts w:cs="Calibri"/>
              </w:rPr>
              <w:t xml:space="preserve">50 mg </w:t>
            </w:r>
            <w:r>
              <w:rPr>
                <w:rFonts w:cs="Calibri"/>
              </w:rPr>
              <w:t>– dar 1 comprimido VO</w:t>
            </w:r>
            <w:r w:rsidR="002A231C">
              <w:rPr>
                <w:rFonts w:cs="Calibri"/>
              </w:rPr>
              <w:t xml:space="preserve"> até de 6/6 horas (dose máxima 200 mg</w:t>
            </w:r>
            <w:r>
              <w:rPr>
                <w:rFonts w:cs="Calibri"/>
              </w:rPr>
              <w:t xml:space="preserve"> ao dia) conforme protocolo da dor</w:t>
            </w:r>
            <w:r w:rsidR="007349AA">
              <w:rPr>
                <w:rFonts w:cs="Calibri"/>
              </w:rPr>
              <w:t xml:space="preserve"> (ou: </w:t>
            </w:r>
            <w:r w:rsidR="007349AA" w:rsidRPr="0013777A">
              <w:rPr>
                <w:rFonts w:cs="Calibri"/>
                <w:b/>
              </w:rPr>
              <w:t>se dor intensa</w:t>
            </w:r>
            <w:r w:rsidR="007349AA">
              <w:rPr>
                <w:rFonts w:cs="Calibri"/>
              </w:rPr>
              <w:t>)</w:t>
            </w:r>
            <w:r w:rsidR="002A231C">
              <w:rPr>
                <w:rFonts w:cs="Calibri"/>
              </w:rPr>
              <w:t>”</w:t>
            </w:r>
            <w:r w:rsidR="0013777A">
              <w:rPr>
                <w:rFonts w:cs="Calibri"/>
              </w:rPr>
              <w:t>;</w:t>
            </w:r>
          </w:p>
        </w:tc>
      </w:tr>
      <w:tr w:rsidR="00E6353C" w:rsidRPr="003B1833" w14:paraId="3C1829BD" w14:textId="77777777" w:rsidTr="0013777A">
        <w:trPr>
          <w:trHeight w:val="567"/>
        </w:trPr>
        <w:tc>
          <w:tcPr>
            <w:tcW w:w="2165" w:type="dxa"/>
            <w:vMerge w:val="restart"/>
            <w:shd w:val="clear" w:color="auto" w:fill="FFFFFF" w:themeFill="background1"/>
          </w:tcPr>
          <w:p w14:paraId="7F65B336" w14:textId="77777777" w:rsidR="00E6353C" w:rsidRPr="0013777A" w:rsidRDefault="00E6353C" w:rsidP="00EA28F9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4B98C759" w14:textId="77777777" w:rsidR="0013777A" w:rsidRDefault="0013777A" w:rsidP="00EA28F9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48288CB3" w14:textId="77777777" w:rsidR="0013777A" w:rsidRDefault="0013777A" w:rsidP="00EA28F9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2190DF8F" w14:textId="5CE7EAD3" w:rsidR="00E6353C" w:rsidRPr="0013777A" w:rsidRDefault="0013777A" w:rsidP="00EA28F9">
            <w:pPr>
              <w:spacing w:after="0" w:line="259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Enfermeira</w:t>
            </w:r>
          </w:p>
        </w:tc>
        <w:tc>
          <w:tcPr>
            <w:tcW w:w="6899" w:type="dxa"/>
            <w:shd w:val="clear" w:color="auto" w:fill="FFFFFF" w:themeFill="background1"/>
          </w:tcPr>
          <w:p w14:paraId="63D6DE29" w14:textId="77777777" w:rsidR="00E6353C" w:rsidRDefault="00E6353C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Acompanhar a evolução da dor por meio do formulário de alerta precoce</w:t>
            </w:r>
            <w:r w:rsidR="0013777A">
              <w:rPr>
                <w:rFonts w:cs="Calibri"/>
              </w:rPr>
              <w:t xml:space="preserve"> (FORM.DT.017 – ALERTA PRECOCE NEONATOLOGIA ou FORM.DT.018 – ALERTA PRECOCE OBSTETRÍCIA);</w:t>
            </w:r>
          </w:p>
          <w:p w14:paraId="4DDD411F" w14:textId="1D559105" w:rsidR="0013777A" w:rsidRPr="0013777A" w:rsidRDefault="0013777A" w:rsidP="00F700E1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Atenção ao risco de alergia (conferir pulseiras);</w:t>
            </w:r>
          </w:p>
        </w:tc>
      </w:tr>
      <w:tr w:rsidR="00E6353C" w:rsidRPr="003B1833" w14:paraId="7530DF23" w14:textId="77777777" w:rsidTr="0013777A">
        <w:trPr>
          <w:trHeight w:val="274"/>
        </w:trPr>
        <w:tc>
          <w:tcPr>
            <w:tcW w:w="2165" w:type="dxa"/>
            <w:vMerge/>
            <w:shd w:val="clear" w:color="auto" w:fill="FFFFFF" w:themeFill="background1"/>
          </w:tcPr>
          <w:p w14:paraId="55FE125D" w14:textId="77777777" w:rsidR="00E6353C" w:rsidRPr="0013777A" w:rsidRDefault="00E6353C" w:rsidP="00EA28F9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0F135F04" w14:textId="73CA00B2" w:rsidR="00E6353C" w:rsidRPr="0013777A" w:rsidRDefault="00E6353C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Garantir a monitorização</w:t>
            </w:r>
            <w:r w:rsidR="0013777A">
              <w:rPr>
                <w:rFonts w:cs="Calibri"/>
              </w:rPr>
              <w:t xml:space="preserve"> do paciente, em</w:t>
            </w:r>
            <w:r w:rsidRPr="0013777A">
              <w:rPr>
                <w:rFonts w:cs="Calibri"/>
              </w:rPr>
              <w:t xml:space="preserve"> caso de uso de </w:t>
            </w:r>
            <w:proofErr w:type="spellStart"/>
            <w:r w:rsidRPr="0013777A">
              <w:rPr>
                <w:rFonts w:cs="Calibri"/>
              </w:rPr>
              <w:t>opióides</w:t>
            </w:r>
            <w:proofErr w:type="spellEnd"/>
            <w:r w:rsidRPr="0013777A">
              <w:rPr>
                <w:rFonts w:cs="Calibri"/>
              </w:rPr>
              <w:t xml:space="preserve"> fortes</w:t>
            </w:r>
            <w:r w:rsidR="0013777A">
              <w:rPr>
                <w:rFonts w:cs="Calibri"/>
              </w:rPr>
              <w:t>;</w:t>
            </w:r>
          </w:p>
        </w:tc>
      </w:tr>
      <w:tr w:rsidR="00E6353C" w:rsidRPr="003B1833" w14:paraId="4CAF5872" w14:textId="77777777" w:rsidTr="0013777A">
        <w:trPr>
          <w:trHeight w:val="274"/>
        </w:trPr>
        <w:tc>
          <w:tcPr>
            <w:tcW w:w="2165" w:type="dxa"/>
            <w:vMerge/>
            <w:shd w:val="clear" w:color="auto" w:fill="FFFFFF" w:themeFill="background1"/>
          </w:tcPr>
          <w:p w14:paraId="4F5A7119" w14:textId="77777777" w:rsidR="00E6353C" w:rsidRPr="0013777A" w:rsidRDefault="00E6353C" w:rsidP="00EA28F9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5BB1BD13" w14:textId="67CCA09F" w:rsidR="00E6353C" w:rsidRPr="0013777A" w:rsidRDefault="00E6353C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 xml:space="preserve">Solicitar avaliação do plantonista em caso de dor intensa não responsiva a </w:t>
            </w:r>
            <w:proofErr w:type="spellStart"/>
            <w:r w:rsidRPr="0013777A">
              <w:rPr>
                <w:rFonts w:cs="Calibri"/>
              </w:rPr>
              <w:t>opióides</w:t>
            </w:r>
            <w:proofErr w:type="spellEnd"/>
            <w:r w:rsidR="004727DB" w:rsidRPr="0013777A">
              <w:rPr>
                <w:rFonts w:cs="Calibri"/>
              </w:rPr>
              <w:t xml:space="preserve"> fracos</w:t>
            </w:r>
            <w:r w:rsidR="0013777A">
              <w:rPr>
                <w:rFonts w:cs="Calibri"/>
              </w:rPr>
              <w:t>;</w:t>
            </w:r>
          </w:p>
        </w:tc>
      </w:tr>
      <w:tr w:rsidR="0056749D" w:rsidRPr="003B1833" w14:paraId="2F1A835E" w14:textId="77777777" w:rsidTr="0013777A">
        <w:trPr>
          <w:trHeight w:val="633"/>
        </w:trPr>
        <w:tc>
          <w:tcPr>
            <w:tcW w:w="2165" w:type="dxa"/>
            <w:vMerge w:val="restart"/>
            <w:shd w:val="clear" w:color="auto" w:fill="FFFFFF" w:themeFill="background1"/>
          </w:tcPr>
          <w:p w14:paraId="04BA5F92" w14:textId="77777777" w:rsidR="0056749D" w:rsidRPr="0013777A" w:rsidRDefault="0056749D" w:rsidP="00EA28F9">
            <w:pPr>
              <w:spacing w:after="0" w:line="259" w:lineRule="auto"/>
              <w:ind w:left="360"/>
              <w:jc w:val="center"/>
              <w:rPr>
                <w:rFonts w:cs="Calibri"/>
                <w:bCs/>
              </w:rPr>
            </w:pPr>
          </w:p>
          <w:p w14:paraId="739C4BB3" w14:textId="77777777" w:rsidR="0056749D" w:rsidRPr="0013777A" w:rsidRDefault="0056749D" w:rsidP="00EA28F9">
            <w:pPr>
              <w:spacing w:after="0" w:line="259" w:lineRule="auto"/>
              <w:ind w:left="360"/>
              <w:jc w:val="center"/>
              <w:rPr>
                <w:rFonts w:cs="Calibri"/>
                <w:bCs/>
              </w:rPr>
            </w:pPr>
          </w:p>
          <w:p w14:paraId="555E40CC" w14:textId="128E5FFD" w:rsidR="00707CD1" w:rsidRDefault="0013777A" w:rsidP="00715C1E">
            <w:pPr>
              <w:spacing w:after="0" w:line="259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Técnico de Enfermagem</w:t>
            </w:r>
          </w:p>
          <w:p w14:paraId="7B052F4B" w14:textId="4CFFFD30" w:rsidR="00715C1E" w:rsidRDefault="00715C1E" w:rsidP="00715C1E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13A0F8B3" w14:textId="77777777" w:rsidR="000F6120" w:rsidRDefault="000F6120" w:rsidP="00715C1E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7FE21FD4" w14:textId="348C4A57" w:rsidR="0056749D" w:rsidRPr="00707CD1" w:rsidRDefault="0056749D" w:rsidP="000F6120">
            <w:pPr>
              <w:rPr>
                <w:rFonts w:cs="Calibri"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2697F83A" w14:textId="20AE31B2" w:rsidR="0056749D" w:rsidRPr="0013777A" w:rsidRDefault="0056749D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Aferir sinais vitais conforme prescrição médica (mí</w:t>
            </w:r>
            <w:r w:rsidR="00A95B69" w:rsidRPr="0013777A">
              <w:rPr>
                <w:rFonts w:cs="Calibri"/>
              </w:rPr>
              <w:t>nimo de 6/6 horas)</w:t>
            </w:r>
            <w:r w:rsidR="0013777A">
              <w:rPr>
                <w:rFonts w:cs="Calibri"/>
              </w:rPr>
              <w:t>,</w:t>
            </w:r>
            <w:r w:rsidR="00A95B69" w:rsidRPr="0013777A">
              <w:rPr>
                <w:rFonts w:cs="Calibri"/>
              </w:rPr>
              <w:t xml:space="preserve"> incluindo </w:t>
            </w:r>
            <w:r w:rsidR="00E6353C" w:rsidRPr="0013777A">
              <w:rPr>
                <w:rFonts w:cs="Calibri"/>
              </w:rPr>
              <w:t>a escala de avaliação da dor</w:t>
            </w:r>
            <w:r w:rsidRPr="0013777A">
              <w:rPr>
                <w:rFonts w:cs="Calibri"/>
              </w:rPr>
              <w:t xml:space="preserve"> (</w:t>
            </w:r>
            <w:r w:rsidR="00E6353C" w:rsidRPr="0013777A">
              <w:rPr>
                <w:rFonts w:cs="Calibri"/>
              </w:rPr>
              <w:t>numérica, descritiva e facial</w:t>
            </w:r>
            <w:r w:rsidRPr="0013777A">
              <w:rPr>
                <w:rFonts w:cs="Calibri"/>
              </w:rPr>
              <w:t>)</w:t>
            </w:r>
            <w:r w:rsidR="00E6353C" w:rsidRPr="0013777A">
              <w:rPr>
                <w:rFonts w:cs="Calibri"/>
              </w:rPr>
              <w:t xml:space="preserve">: </w:t>
            </w:r>
            <w:r w:rsidR="0013777A">
              <w:rPr>
                <w:rFonts w:cs="Calibri"/>
              </w:rPr>
              <w:t xml:space="preserve">vide </w:t>
            </w:r>
            <w:r w:rsidR="00E6353C" w:rsidRPr="0013777A">
              <w:rPr>
                <w:rFonts w:cs="Calibri"/>
              </w:rPr>
              <w:t>modelo a seguir</w:t>
            </w:r>
            <w:r w:rsidR="0013777A">
              <w:rPr>
                <w:rFonts w:cs="Calibri"/>
              </w:rPr>
              <w:t>;</w:t>
            </w:r>
          </w:p>
        </w:tc>
      </w:tr>
      <w:tr w:rsidR="0056749D" w:rsidRPr="003B1833" w14:paraId="0726DBA6" w14:textId="77777777" w:rsidTr="0013777A">
        <w:trPr>
          <w:trHeight w:val="288"/>
        </w:trPr>
        <w:tc>
          <w:tcPr>
            <w:tcW w:w="2165" w:type="dxa"/>
            <w:vMerge/>
            <w:shd w:val="clear" w:color="auto" w:fill="FFFFFF" w:themeFill="background1"/>
          </w:tcPr>
          <w:p w14:paraId="6905A32A" w14:textId="77777777" w:rsidR="0056749D" w:rsidRDefault="0056749D" w:rsidP="009327BD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18516F48" w14:textId="243D7956" w:rsidR="0056749D" w:rsidRPr="0013777A" w:rsidRDefault="00E6353C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Classificar a dor como leve (0-3), moderada (4</w:t>
            </w:r>
            <w:r w:rsidR="0056749D" w:rsidRPr="0013777A">
              <w:rPr>
                <w:rFonts w:cs="Calibri"/>
              </w:rPr>
              <w:t>-7) ou intensa (8-10)</w:t>
            </w:r>
            <w:r w:rsidR="0013777A">
              <w:rPr>
                <w:rFonts w:cs="Calibri"/>
              </w:rPr>
              <w:t>;</w:t>
            </w:r>
          </w:p>
        </w:tc>
      </w:tr>
      <w:tr w:rsidR="0056749D" w:rsidRPr="003B1833" w14:paraId="41AB53E2" w14:textId="77777777" w:rsidTr="0013777A">
        <w:trPr>
          <w:trHeight w:val="263"/>
        </w:trPr>
        <w:tc>
          <w:tcPr>
            <w:tcW w:w="2165" w:type="dxa"/>
            <w:vMerge/>
            <w:shd w:val="clear" w:color="auto" w:fill="FFFFFF" w:themeFill="background1"/>
          </w:tcPr>
          <w:p w14:paraId="6F9EAE0D" w14:textId="77777777" w:rsidR="0056749D" w:rsidRDefault="0056749D" w:rsidP="009327BD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35881C1D" w14:textId="35DB2DD5" w:rsidR="0056749D" w:rsidRPr="0013777A" w:rsidRDefault="0056749D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Administrar as medicações indicadas conforme prescrição</w:t>
            </w:r>
            <w:r w:rsidR="0013777A">
              <w:rPr>
                <w:rFonts w:cs="Calibri"/>
              </w:rPr>
              <w:t xml:space="preserve"> médica;</w:t>
            </w:r>
          </w:p>
        </w:tc>
      </w:tr>
      <w:tr w:rsidR="0056749D" w:rsidRPr="003B1833" w14:paraId="460669BC" w14:textId="77777777" w:rsidTr="0013777A">
        <w:trPr>
          <w:trHeight w:val="307"/>
        </w:trPr>
        <w:tc>
          <w:tcPr>
            <w:tcW w:w="2165" w:type="dxa"/>
            <w:vMerge/>
            <w:shd w:val="clear" w:color="auto" w:fill="FFFFFF" w:themeFill="background1"/>
          </w:tcPr>
          <w:p w14:paraId="5A757C1D" w14:textId="77777777" w:rsidR="0056749D" w:rsidRDefault="0056749D" w:rsidP="009327BD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6827481D" w14:textId="43A5D415" w:rsidR="00F700E1" w:rsidRPr="0013777A" w:rsidRDefault="0013777A" w:rsidP="00F700E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Reavaliar </w:t>
            </w:r>
            <w:r w:rsidR="0056749D" w:rsidRPr="0013777A">
              <w:rPr>
                <w:rFonts w:cs="Calibri"/>
              </w:rPr>
              <w:t>a dor após administração</w:t>
            </w:r>
            <w:r>
              <w:rPr>
                <w:rFonts w:cs="Calibri"/>
              </w:rPr>
              <w:t xml:space="preserve"> da medicação,</w:t>
            </w:r>
            <w:r w:rsidR="0056749D" w:rsidRPr="0013777A">
              <w:rPr>
                <w:rFonts w:cs="Calibri"/>
              </w:rPr>
              <w:t xml:space="preserve"> conforme protocolo</w:t>
            </w:r>
            <w:r>
              <w:rPr>
                <w:rFonts w:cs="Calibri"/>
              </w:rPr>
              <w:t>;</w:t>
            </w:r>
          </w:p>
        </w:tc>
      </w:tr>
      <w:tr w:rsidR="00EA28F9" w:rsidRPr="00BA08EA" w14:paraId="4A9EE4F8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6D9A1184" w14:textId="11A3BA7F" w:rsidR="00EA28F9" w:rsidRPr="00BA08EA" w:rsidRDefault="00EA28F9" w:rsidP="00B95C6E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ESCALA </w:t>
            </w:r>
            <w:r w:rsidR="00B95C6E">
              <w:rPr>
                <w:rFonts w:cs="Calibri"/>
                <w:b/>
                <w:bCs/>
              </w:rPr>
              <w:t>DE AVALIAÇÃO DA DOR (NUMÉRICA, FACIAL E DESCRITIVA)</w:t>
            </w:r>
            <w:r>
              <w:rPr>
                <w:rFonts w:cs="Calibri"/>
                <w:b/>
                <w:bCs/>
              </w:rPr>
              <w:t xml:space="preserve"> </w:t>
            </w:r>
          </w:p>
        </w:tc>
      </w:tr>
      <w:tr w:rsidR="009327BD" w:rsidRPr="005060B6" w14:paraId="61E25C27" w14:textId="77777777" w:rsidTr="0013777A">
        <w:trPr>
          <w:trHeight w:val="1587"/>
        </w:trPr>
        <w:tc>
          <w:tcPr>
            <w:tcW w:w="9064" w:type="dxa"/>
            <w:gridSpan w:val="2"/>
          </w:tcPr>
          <w:p w14:paraId="13C75A5D" w14:textId="5108F8A7" w:rsidR="009327BD" w:rsidRDefault="00B95C6E" w:rsidP="009327BD">
            <w:pPr>
              <w:spacing w:after="0" w:line="259" w:lineRule="auto"/>
              <w:jc w:val="both"/>
              <w:rPr>
                <w:rFonts w:cs="Calibri"/>
              </w:rPr>
            </w:pP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569A4493" wp14:editId="77459D8E">
                  <wp:extent cx="5600700" cy="27908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279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7BD" w:rsidRPr="00BA08EA" w14:paraId="65E2616C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4ECD8D51" w14:textId="77777777" w:rsidR="0013777A" w:rsidRDefault="009327BD" w:rsidP="00F700E1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bookmarkStart w:id="0" w:name="_Hlk30346772"/>
            <w:bookmarkEnd w:id="0"/>
            <w:r>
              <w:rPr>
                <w:rFonts w:cs="Calibri"/>
                <w:b/>
                <w:bCs/>
              </w:rPr>
              <w:t xml:space="preserve">MANEJO DA DOR LEVE </w:t>
            </w:r>
          </w:p>
          <w:p w14:paraId="35F07C6E" w14:textId="2DD73E77" w:rsidR="006D1A4A" w:rsidRPr="00BA08EA" w:rsidRDefault="001D434B" w:rsidP="00F700E1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(pontuação de 1 a 3)</w:t>
            </w:r>
          </w:p>
        </w:tc>
      </w:tr>
      <w:tr w:rsidR="009327BD" w:rsidRPr="003B1833" w14:paraId="752E60CC" w14:textId="77777777" w:rsidTr="0013777A">
        <w:tc>
          <w:tcPr>
            <w:tcW w:w="2165" w:type="dxa"/>
            <w:vMerge w:val="restart"/>
            <w:shd w:val="clear" w:color="auto" w:fill="FFFFFF" w:themeFill="background1"/>
          </w:tcPr>
          <w:p w14:paraId="4ADA55B6" w14:textId="77777777" w:rsidR="009327BD" w:rsidRDefault="009327BD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4DE1F98C" w14:textId="77777777" w:rsidR="0013777A" w:rsidRDefault="0013777A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005FA186" w14:textId="77777777" w:rsidR="0013777A" w:rsidRDefault="0013777A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1D2D88CD" w14:textId="77777777" w:rsidR="0013777A" w:rsidRDefault="0013777A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50A73DF3" w14:textId="77777777" w:rsidR="0013777A" w:rsidRDefault="0013777A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3C04F090" w14:textId="77777777" w:rsidR="0013777A" w:rsidRDefault="0013777A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677318AB" w14:textId="0C47DD64" w:rsidR="009327BD" w:rsidRDefault="009327BD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PRINCIPAIS MEDICAÇÕES</w:t>
            </w:r>
          </w:p>
          <w:p w14:paraId="3516FEC9" w14:textId="0DEE8FB4" w:rsidR="009327BD" w:rsidRDefault="009327BD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RECOMENDADAS</w:t>
            </w:r>
          </w:p>
        </w:tc>
        <w:tc>
          <w:tcPr>
            <w:tcW w:w="6899" w:type="dxa"/>
            <w:shd w:val="clear" w:color="auto" w:fill="FFFFFF" w:themeFill="background1"/>
          </w:tcPr>
          <w:p w14:paraId="6C7C3C9E" w14:textId="306FFE23" w:rsidR="00004121" w:rsidRPr="00004121" w:rsidRDefault="00132062" w:rsidP="00F700E1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b/>
                <w:bCs/>
              </w:rPr>
              <w:t>Dipirona</w:t>
            </w:r>
            <w:r>
              <w:rPr>
                <w:bCs/>
              </w:rPr>
              <w:t xml:space="preserve"> </w:t>
            </w:r>
            <w:r w:rsidR="00004121">
              <w:rPr>
                <w:bCs/>
              </w:rPr>
              <w:t>(</w:t>
            </w:r>
            <w:proofErr w:type="spellStart"/>
            <w:r w:rsidR="00004121">
              <w:rPr>
                <w:bCs/>
              </w:rPr>
              <w:t>Novalgina</w:t>
            </w:r>
            <w:r w:rsidR="00004121">
              <w:rPr>
                <w:bCs/>
                <w:vertAlign w:val="superscript"/>
              </w:rPr>
              <w:t>R</w:t>
            </w:r>
            <w:proofErr w:type="spellEnd"/>
            <w:r w:rsidR="00004121">
              <w:rPr>
                <w:bCs/>
              </w:rPr>
              <w:t xml:space="preserve"> </w:t>
            </w:r>
            <w:proofErr w:type="spellStart"/>
            <w:r w:rsidR="00004121">
              <w:rPr>
                <w:bCs/>
              </w:rPr>
              <w:t>comp</w:t>
            </w:r>
            <w:proofErr w:type="spellEnd"/>
            <w:r w:rsidR="00004121">
              <w:rPr>
                <w:bCs/>
              </w:rPr>
              <w:t xml:space="preserve"> 500 mg, gotas onde 20 gotas = 500 mg ou ampola 1000 mg/2 Ml ) </w:t>
            </w:r>
            <w:r>
              <w:rPr>
                <w:bCs/>
              </w:rPr>
              <w:t>–</w:t>
            </w:r>
            <w:r w:rsidR="00004121">
              <w:rPr>
                <w:bCs/>
              </w:rPr>
              <w:t xml:space="preserve"> dose:</w:t>
            </w:r>
            <w:r>
              <w:rPr>
                <w:bCs/>
              </w:rPr>
              <w:t xml:space="preserve"> 500 mg a 1.000 mg até de 6/6 horas</w:t>
            </w:r>
            <w:r w:rsidR="009327BD">
              <w:rPr>
                <w:bCs/>
              </w:rPr>
              <w:t xml:space="preserve"> (dose máxima diária 4 gramas)</w:t>
            </w:r>
            <w:r w:rsidR="00004121">
              <w:rPr>
                <w:bCs/>
              </w:rPr>
              <w:t>, VO, IM ou EV</w:t>
            </w:r>
            <w:r w:rsidR="0013777A">
              <w:rPr>
                <w:bCs/>
              </w:rPr>
              <w:t>;</w:t>
            </w:r>
          </w:p>
        </w:tc>
      </w:tr>
      <w:tr w:rsidR="009327BD" w:rsidRPr="003B1833" w14:paraId="268CB0CF" w14:textId="77777777" w:rsidTr="0013777A">
        <w:tc>
          <w:tcPr>
            <w:tcW w:w="2165" w:type="dxa"/>
            <w:vMerge/>
            <w:shd w:val="clear" w:color="auto" w:fill="FFFFFF" w:themeFill="background1"/>
          </w:tcPr>
          <w:p w14:paraId="49FE00FD" w14:textId="77777777" w:rsidR="009327BD" w:rsidRDefault="009327BD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4985D673" w14:textId="77777777" w:rsidR="0023041C" w:rsidRPr="000F6120" w:rsidRDefault="009327BD" w:rsidP="00F700E1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bCs/>
              </w:rPr>
            </w:pPr>
            <w:r w:rsidRPr="000F6120">
              <w:rPr>
                <w:b/>
                <w:bCs/>
              </w:rPr>
              <w:t>Paracetamol</w:t>
            </w:r>
            <w:r w:rsidR="0023041C" w:rsidRPr="000F6120">
              <w:rPr>
                <w:bCs/>
              </w:rPr>
              <w:t>:</w:t>
            </w:r>
          </w:p>
          <w:p w14:paraId="7C6913DC" w14:textId="2A3AA6E5" w:rsidR="009327BD" w:rsidRPr="000F6120" w:rsidRDefault="001E7D5D" w:rsidP="0023041C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Cs/>
              </w:rPr>
              <w:t>Tylenol</w:t>
            </w:r>
            <w:r w:rsidRPr="000F6120">
              <w:rPr>
                <w:bCs/>
                <w:vertAlign w:val="superscript"/>
              </w:rPr>
              <w:t>R</w:t>
            </w:r>
            <w:proofErr w:type="spellEnd"/>
            <w:r w:rsidR="000F6120">
              <w:rPr>
                <w:bCs/>
              </w:rPr>
              <w:t xml:space="preserve"> </w:t>
            </w:r>
            <w:proofErr w:type="spellStart"/>
            <w:r w:rsidR="000F6120">
              <w:rPr>
                <w:bCs/>
              </w:rPr>
              <w:t>cp</w:t>
            </w:r>
            <w:proofErr w:type="spellEnd"/>
            <w:r w:rsidR="000F6120">
              <w:rPr>
                <w:bCs/>
              </w:rPr>
              <w:t xml:space="preserve"> 500 mg, ou </w:t>
            </w:r>
            <w:r w:rsidRPr="000F6120">
              <w:rPr>
                <w:bCs/>
              </w:rPr>
              <w:t>750 mg, ou gotas</w:t>
            </w:r>
            <w:r w:rsidR="000F6120">
              <w:rPr>
                <w:bCs/>
              </w:rPr>
              <w:t>,</w:t>
            </w:r>
            <w:r w:rsidRPr="000F6120">
              <w:rPr>
                <w:bCs/>
              </w:rPr>
              <w:t xml:space="preserve"> onde 38 gotas = 500 mg)</w:t>
            </w:r>
            <w:r w:rsidR="003D2EE5" w:rsidRPr="000F6120">
              <w:rPr>
                <w:bCs/>
              </w:rPr>
              <w:t>:</w:t>
            </w:r>
            <w:r w:rsidR="009327BD" w:rsidRPr="000F6120">
              <w:rPr>
                <w:bCs/>
              </w:rPr>
              <w:t xml:space="preserve"> 750</w:t>
            </w:r>
            <w:r w:rsidR="0004083F" w:rsidRPr="000F6120">
              <w:rPr>
                <w:bCs/>
              </w:rPr>
              <w:t xml:space="preserve"> - 1000</w:t>
            </w:r>
            <w:r w:rsidR="003D2EE5" w:rsidRPr="000F6120">
              <w:rPr>
                <w:bCs/>
              </w:rPr>
              <w:t xml:space="preserve"> </w:t>
            </w:r>
            <w:proofErr w:type="gramStart"/>
            <w:r w:rsidR="003D2EE5" w:rsidRPr="000F6120">
              <w:rPr>
                <w:bCs/>
              </w:rPr>
              <w:t xml:space="preserve">mg </w:t>
            </w:r>
            <w:r w:rsidR="00132062" w:rsidRPr="000F6120">
              <w:rPr>
                <w:bCs/>
              </w:rPr>
              <w:t xml:space="preserve"> via</w:t>
            </w:r>
            <w:proofErr w:type="gramEnd"/>
            <w:r w:rsidR="00132062" w:rsidRPr="000F6120">
              <w:rPr>
                <w:bCs/>
              </w:rPr>
              <w:t xml:space="preserve"> </w:t>
            </w:r>
            <w:r w:rsidR="003D2EE5" w:rsidRPr="000F6120">
              <w:rPr>
                <w:bCs/>
              </w:rPr>
              <w:t>oral até 6/6 horas (dose máxima diária</w:t>
            </w:r>
            <w:r w:rsidR="0004083F" w:rsidRPr="000F6120">
              <w:rPr>
                <w:bCs/>
              </w:rPr>
              <w:t xml:space="preserve"> 4 gramas)</w:t>
            </w:r>
            <w:r w:rsidR="0013777A" w:rsidRPr="000F6120">
              <w:rPr>
                <w:bCs/>
              </w:rPr>
              <w:t>;</w:t>
            </w:r>
          </w:p>
          <w:p w14:paraId="3078D4E9" w14:textId="3DBA2D0B" w:rsidR="0023041C" w:rsidRPr="00A31C6C" w:rsidRDefault="0023041C" w:rsidP="0023041C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bCs/>
                <w:color w:val="FF0000"/>
              </w:rPr>
            </w:pPr>
            <w:proofErr w:type="spellStart"/>
            <w:r w:rsidRPr="000F6120">
              <w:rPr>
                <w:bCs/>
              </w:rPr>
              <w:t>Halexminophen</w:t>
            </w:r>
            <w:r w:rsidRPr="000F6120">
              <w:rPr>
                <w:bCs/>
                <w:vertAlign w:val="superscript"/>
              </w:rPr>
              <w:t>R</w:t>
            </w:r>
            <w:proofErr w:type="spellEnd"/>
            <w:r w:rsidRPr="000F6120">
              <w:rPr>
                <w:bCs/>
              </w:rPr>
              <w:t xml:space="preserve"> 10 mg/ml (frasco com 50 ml = 500 mg ou 100 ml = 1.000 mg): 500 – 1000 mg EV até de 6/6 horas (</w:t>
            </w:r>
            <w:proofErr w:type="spellStart"/>
            <w:r w:rsidRPr="000F6120">
              <w:rPr>
                <w:bCs/>
              </w:rPr>
              <w:t>máx</w:t>
            </w:r>
            <w:proofErr w:type="spellEnd"/>
            <w:r w:rsidRPr="000F6120">
              <w:rPr>
                <w:bCs/>
              </w:rPr>
              <w:t xml:space="preserve"> 4 g)</w:t>
            </w:r>
            <w:r w:rsidR="000F6120">
              <w:rPr>
                <w:bCs/>
              </w:rPr>
              <w:t>;</w:t>
            </w:r>
          </w:p>
        </w:tc>
      </w:tr>
      <w:tr w:rsidR="009327BD" w:rsidRPr="003B1833" w14:paraId="4AC27E2D" w14:textId="77777777" w:rsidTr="0013777A">
        <w:trPr>
          <w:trHeight w:val="894"/>
        </w:trPr>
        <w:tc>
          <w:tcPr>
            <w:tcW w:w="2165" w:type="dxa"/>
            <w:vMerge/>
            <w:shd w:val="clear" w:color="auto" w:fill="FFFFFF" w:themeFill="background1"/>
          </w:tcPr>
          <w:p w14:paraId="0F44656D" w14:textId="77777777" w:rsidR="009327BD" w:rsidRDefault="009327BD" w:rsidP="0013777A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6BE586C4" w14:textId="3D6971B1" w:rsidR="003D2EE5" w:rsidRPr="0015728D" w:rsidRDefault="003D2EE5" w:rsidP="00F700E1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  <w:b/>
              </w:rPr>
              <w:t>Anti-inflamatórios</w:t>
            </w:r>
            <w:r>
              <w:rPr>
                <w:rFonts w:cs="Calibri"/>
              </w:rPr>
              <w:t xml:space="preserve"> (AINES):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D2EE5">
              <w:rPr>
                <w:bCs/>
                <w:i/>
                <w:color w:val="000000" w:themeColor="text1"/>
              </w:rPr>
              <w:t xml:space="preserve">considerar risco de sangramento do </w:t>
            </w:r>
            <w:r w:rsidR="0013777A">
              <w:rPr>
                <w:bCs/>
                <w:i/>
                <w:color w:val="000000" w:themeColor="text1"/>
              </w:rPr>
              <w:t>trato gastrointestinal (</w:t>
            </w:r>
            <w:r w:rsidR="00194138">
              <w:rPr>
                <w:bCs/>
                <w:i/>
                <w:color w:val="000000" w:themeColor="text1"/>
              </w:rPr>
              <w:t>TGI</w:t>
            </w:r>
            <w:r w:rsidR="0013777A">
              <w:rPr>
                <w:bCs/>
                <w:i/>
                <w:color w:val="000000" w:themeColor="text1"/>
              </w:rPr>
              <w:t>)</w:t>
            </w:r>
            <w:r w:rsidRPr="003D2EE5">
              <w:rPr>
                <w:bCs/>
                <w:i/>
                <w:color w:val="000000" w:themeColor="text1"/>
              </w:rPr>
              <w:t>, disfunç</w:t>
            </w:r>
            <w:r>
              <w:rPr>
                <w:bCs/>
                <w:i/>
                <w:color w:val="000000" w:themeColor="text1"/>
              </w:rPr>
              <w:t>ão renal e risco cardiovascular</w:t>
            </w:r>
            <w:r w:rsidR="0013777A">
              <w:rPr>
                <w:bCs/>
                <w:i/>
                <w:color w:val="000000" w:themeColor="text1"/>
              </w:rPr>
              <w:t>;</w:t>
            </w:r>
          </w:p>
          <w:p w14:paraId="5D077545" w14:textId="042653D5" w:rsidR="0015728D" w:rsidRPr="0015728D" w:rsidRDefault="0015728D" w:rsidP="00F700E1">
            <w:pPr>
              <w:pStyle w:val="PargrafodaLista"/>
              <w:spacing w:after="0" w:line="240" w:lineRule="auto"/>
              <w:ind w:left="1440"/>
              <w:jc w:val="center"/>
              <w:rPr>
                <w:rFonts w:cs="Calibri"/>
                <w:u w:val="single"/>
              </w:rPr>
            </w:pPr>
            <w:r w:rsidRPr="0015728D">
              <w:rPr>
                <w:rFonts w:cs="Calibri"/>
                <w:u w:val="single"/>
              </w:rPr>
              <w:t>PADRONIZADOS</w:t>
            </w:r>
            <w:r w:rsidR="0013777A">
              <w:rPr>
                <w:rFonts w:cs="Calibri"/>
                <w:u w:val="single"/>
              </w:rPr>
              <w:t xml:space="preserve"> NA CSH</w:t>
            </w:r>
            <w:r w:rsidRPr="0015728D">
              <w:rPr>
                <w:rFonts w:cs="Calibri"/>
                <w:u w:val="single"/>
              </w:rPr>
              <w:t>:</w:t>
            </w:r>
          </w:p>
          <w:p w14:paraId="75CD83D7" w14:textId="64583981" w:rsidR="00132062" w:rsidRPr="00132062" w:rsidRDefault="00132062" w:rsidP="00F700E1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Cetoprofeno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Profenid</w:t>
            </w:r>
            <w:r>
              <w:rPr>
                <w:bCs/>
                <w:vertAlign w:val="superscript"/>
              </w:rPr>
              <w:t>R</w:t>
            </w:r>
            <w:proofErr w:type="spellEnd"/>
            <w:r w:rsidR="0015728D">
              <w:rPr>
                <w:bCs/>
              </w:rPr>
              <w:t xml:space="preserve"> </w:t>
            </w:r>
            <w:proofErr w:type="spellStart"/>
            <w:r w:rsidR="0015728D">
              <w:rPr>
                <w:bCs/>
              </w:rPr>
              <w:t>cp</w:t>
            </w:r>
            <w:proofErr w:type="spellEnd"/>
            <w:r w:rsidR="0015728D">
              <w:rPr>
                <w:bCs/>
              </w:rPr>
              <w:t xml:space="preserve"> 100 mg ou ampola 100 mg/2Ml para uso IM ou frasco 100 mg para diluir e usar EV):              </w:t>
            </w:r>
            <w:r>
              <w:rPr>
                <w:bCs/>
              </w:rPr>
              <w:t>100 mg</w:t>
            </w:r>
            <w:r w:rsidR="004A17FA">
              <w:rPr>
                <w:bCs/>
              </w:rPr>
              <w:t xml:space="preserve"> </w:t>
            </w:r>
            <w:r>
              <w:rPr>
                <w:bCs/>
              </w:rPr>
              <w:t xml:space="preserve">de 12/12 </w:t>
            </w:r>
            <w:proofErr w:type="spellStart"/>
            <w:r>
              <w:rPr>
                <w:bCs/>
              </w:rPr>
              <w:t>hs</w:t>
            </w:r>
            <w:proofErr w:type="spellEnd"/>
            <w:r w:rsidR="0015728D">
              <w:rPr>
                <w:bCs/>
              </w:rPr>
              <w:t xml:space="preserve"> (via oral, IM ou IV</w:t>
            </w:r>
            <w:r w:rsidR="004A17FA">
              <w:rPr>
                <w:bCs/>
              </w:rPr>
              <w:t>)</w:t>
            </w:r>
            <w:r w:rsidR="0013777A">
              <w:rPr>
                <w:bCs/>
              </w:rPr>
              <w:t>;</w:t>
            </w:r>
          </w:p>
          <w:p w14:paraId="50009D76" w14:textId="37A0A60A" w:rsidR="0015728D" w:rsidRPr="00244D3C" w:rsidRDefault="0015728D" w:rsidP="00F700E1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Celecoxib</w:t>
            </w:r>
            <w:proofErr w:type="spellEnd"/>
            <w:r w:rsidRPr="003D2EE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Celebra</w:t>
            </w:r>
            <w:r>
              <w:rPr>
                <w:bCs/>
                <w:vertAlign w:val="superscript"/>
              </w:rPr>
              <w:t>R</w:t>
            </w:r>
            <w:proofErr w:type="spellEnd"/>
            <w:r w:rsidR="001E7D5D">
              <w:rPr>
                <w:bCs/>
              </w:rPr>
              <w:t xml:space="preserve"> </w:t>
            </w:r>
            <w:proofErr w:type="spellStart"/>
            <w:r w:rsidR="001E7D5D">
              <w:rPr>
                <w:bCs/>
              </w:rPr>
              <w:t>comp</w:t>
            </w:r>
            <w:proofErr w:type="spellEnd"/>
            <w:r>
              <w:rPr>
                <w:bCs/>
              </w:rPr>
              <w:t xml:space="preserve"> 200 mg</w:t>
            </w:r>
            <w:r w:rsidR="001E7D5D">
              <w:rPr>
                <w:bCs/>
              </w:rPr>
              <w:t>)</w:t>
            </w:r>
            <w:r w:rsidR="0013777A">
              <w:rPr>
                <w:bCs/>
              </w:rPr>
              <w:t xml:space="preserve">: </w:t>
            </w:r>
            <w:r>
              <w:rPr>
                <w:bCs/>
              </w:rPr>
              <w:t xml:space="preserve">1 </w:t>
            </w:r>
            <w:proofErr w:type="spellStart"/>
            <w:r w:rsidR="001E7D5D">
              <w:rPr>
                <w:bCs/>
              </w:rPr>
              <w:t>cp</w:t>
            </w:r>
            <w:proofErr w:type="spellEnd"/>
            <w:r w:rsidR="001E7D5D">
              <w:rPr>
                <w:bCs/>
              </w:rPr>
              <w:t xml:space="preserve"> VO</w:t>
            </w:r>
            <w:r>
              <w:rPr>
                <w:bCs/>
              </w:rPr>
              <w:t xml:space="preserve"> de</w:t>
            </w:r>
            <w:r w:rsidRPr="003D2EE5">
              <w:rPr>
                <w:bCs/>
              </w:rPr>
              <w:t xml:space="preserve"> 12/</w:t>
            </w:r>
            <w:r>
              <w:rPr>
                <w:bCs/>
              </w:rPr>
              <w:t>12 horas</w:t>
            </w:r>
            <w:r w:rsidR="0013777A">
              <w:rPr>
                <w:bCs/>
              </w:rPr>
              <w:t>;</w:t>
            </w:r>
          </w:p>
          <w:p w14:paraId="064D88AE" w14:textId="4911D6FE" w:rsidR="00244D3C" w:rsidRPr="00244D3C" w:rsidRDefault="00244D3C" w:rsidP="00F700E1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Diclofenaco</w:t>
            </w:r>
            <w:proofErr w:type="spellEnd"/>
            <w:r>
              <w:rPr>
                <w:bCs/>
              </w:rPr>
              <w:t xml:space="preserve"> </w:t>
            </w:r>
            <w:r w:rsidRPr="0013777A">
              <w:rPr>
                <w:b/>
                <w:bCs/>
              </w:rPr>
              <w:t>sódico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Voltaren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</w:t>
            </w:r>
            <w:proofErr w:type="spellEnd"/>
            <w:r>
              <w:rPr>
                <w:bCs/>
              </w:rPr>
              <w:t xml:space="preserve"> 50 mg e </w:t>
            </w:r>
            <w:proofErr w:type="spellStart"/>
            <w:r>
              <w:rPr>
                <w:bCs/>
              </w:rPr>
              <w:t>amp</w:t>
            </w:r>
            <w:proofErr w:type="spellEnd"/>
            <w:r>
              <w:rPr>
                <w:bCs/>
              </w:rPr>
              <w:t xml:space="preserve"> 75 mg/3 ml</w:t>
            </w:r>
            <w:r w:rsidR="0013777A">
              <w:rPr>
                <w:bCs/>
              </w:rPr>
              <w:t>):</w:t>
            </w:r>
            <w:r>
              <w:rPr>
                <w:bCs/>
              </w:rPr>
              <w:t xml:space="preserve"> usar 50 a 100 mg VO ou IM de 12/12 h</w:t>
            </w:r>
            <w:r w:rsidR="0013777A">
              <w:rPr>
                <w:bCs/>
              </w:rPr>
              <w:t>;</w:t>
            </w:r>
          </w:p>
          <w:p w14:paraId="02ED6B62" w14:textId="6745F523" w:rsidR="001E7D5D" w:rsidRPr="00004121" w:rsidRDefault="001E7D5D" w:rsidP="00F700E1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Parecoxib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Bextra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frasco ampola 40 mg): 1 frasco EV de 24/24 </w:t>
            </w:r>
            <w:proofErr w:type="spellStart"/>
            <w:r>
              <w:rPr>
                <w:bCs/>
              </w:rPr>
              <w:t>hs</w:t>
            </w:r>
            <w:proofErr w:type="spellEnd"/>
            <w:r>
              <w:rPr>
                <w:bCs/>
              </w:rPr>
              <w:t xml:space="preserve"> ou 12/12 </w:t>
            </w:r>
            <w:proofErr w:type="spellStart"/>
            <w:r>
              <w:rPr>
                <w:bCs/>
              </w:rPr>
              <w:t>hs</w:t>
            </w:r>
            <w:proofErr w:type="spellEnd"/>
            <w:r w:rsidR="0013777A">
              <w:rPr>
                <w:bCs/>
              </w:rPr>
              <w:t>;</w:t>
            </w:r>
          </w:p>
          <w:p w14:paraId="1A992D89" w14:textId="029AF1BF" w:rsidR="00244D3C" w:rsidRPr="00244D3C" w:rsidRDefault="00244D3C" w:rsidP="00F700E1">
            <w:pPr>
              <w:spacing w:after="0" w:line="240" w:lineRule="auto"/>
              <w:ind w:left="1080"/>
              <w:jc w:val="center"/>
              <w:rPr>
                <w:rFonts w:cs="Calibri"/>
                <w:u w:val="single"/>
              </w:rPr>
            </w:pPr>
            <w:r w:rsidRPr="00244D3C">
              <w:rPr>
                <w:rFonts w:cs="Calibri"/>
                <w:u w:val="single"/>
              </w:rPr>
              <w:t>NÃO PADRONIZADOS</w:t>
            </w:r>
            <w:r w:rsidR="0013777A">
              <w:rPr>
                <w:rFonts w:cs="Calibri"/>
                <w:u w:val="single"/>
              </w:rPr>
              <w:t xml:space="preserve"> NA CSH</w:t>
            </w:r>
            <w:r w:rsidRPr="00244D3C">
              <w:rPr>
                <w:rFonts w:cs="Calibri"/>
                <w:u w:val="single"/>
              </w:rPr>
              <w:t>:</w:t>
            </w:r>
          </w:p>
          <w:p w14:paraId="1D5B185E" w14:textId="70BA514E" w:rsidR="009327BD" w:rsidRPr="003D2EE5" w:rsidRDefault="00244D3C" w:rsidP="00F700E1">
            <w:pPr>
              <w:pStyle w:val="PargrafodaLista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T</w:t>
            </w:r>
            <w:r w:rsidR="003D2EE5" w:rsidRPr="0013777A">
              <w:rPr>
                <w:b/>
                <w:bCs/>
              </w:rPr>
              <w:t>enoxicam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Teflan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  <w:vertAlign w:val="superscript"/>
              </w:rPr>
              <w:t xml:space="preserve">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20 mg):</w:t>
            </w:r>
            <w:r w:rsidR="003D2EE5" w:rsidRPr="003D2EE5">
              <w:rPr>
                <w:bCs/>
              </w:rPr>
              <w:t xml:space="preserve"> </w:t>
            </w:r>
            <w:r>
              <w:rPr>
                <w:bCs/>
              </w:rPr>
              <w:t xml:space="preserve">1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de 12/12 </w:t>
            </w:r>
            <w:proofErr w:type="spellStart"/>
            <w:r>
              <w:rPr>
                <w:bCs/>
              </w:rPr>
              <w:t>hs</w:t>
            </w:r>
            <w:proofErr w:type="spellEnd"/>
            <w:r w:rsidR="0013777A">
              <w:rPr>
                <w:bCs/>
              </w:rPr>
              <w:t>;</w:t>
            </w:r>
            <w:r w:rsidR="003D2EE5">
              <w:rPr>
                <w:bCs/>
              </w:rPr>
              <w:t xml:space="preserve"> </w:t>
            </w:r>
          </w:p>
        </w:tc>
      </w:tr>
      <w:tr w:rsidR="003D2EE5" w:rsidRPr="003B1833" w14:paraId="2ACDB1CB" w14:textId="77777777" w:rsidTr="0013777A">
        <w:trPr>
          <w:trHeight w:val="281"/>
        </w:trPr>
        <w:tc>
          <w:tcPr>
            <w:tcW w:w="2165" w:type="dxa"/>
            <w:vMerge w:val="restart"/>
            <w:shd w:val="clear" w:color="auto" w:fill="FFFFFF" w:themeFill="background1"/>
          </w:tcPr>
          <w:p w14:paraId="0441AE7B" w14:textId="77777777" w:rsidR="0013777A" w:rsidRDefault="0013777A" w:rsidP="0013777A">
            <w:pPr>
              <w:spacing w:after="0" w:line="259" w:lineRule="auto"/>
              <w:ind w:right="-213" w:hanging="120"/>
              <w:jc w:val="center"/>
              <w:rPr>
                <w:rFonts w:cs="Calibri"/>
                <w:b/>
                <w:bCs/>
              </w:rPr>
            </w:pPr>
          </w:p>
          <w:p w14:paraId="611BA0D6" w14:textId="3B45EA7E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REAVALIAR APÓS 1 HORA</w:t>
            </w:r>
          </w:p>
        </w:tc>
        <w:tc>
          <w:tcPr>
            <w:tcW w:w="6899" w:type="dxa"/>
            <w:shd w:val="clear" w:color="auto" w:fill="FFFFFF" w:themeFill="background1"/>
          </w:tcPr>
          <w:p w14:paraId="7BF61698" w14:textId="19536CDF" w:rsidR="003D2EE5" w:rsidRPr="0013777A" w:rsidRDefault="00194138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 xml:space="preserve">Se melhorou, manter a rotina (considerar </w:t>
            </w:r>
            <w:r w:rsidR="0013777A" w:rsidRPr="0013777A">
              <w:rPr>
                <w:rFonts w:cs="Calibri"/>
              </w:rPr>
              <w:t xml:space="preserve"> </w:t>
            </w:r>
            <w:r w:rsidRPr="0013777A">
              <w:rPr>
                <w:rFonts w:cs="Calibri"/>
              </w:rPr>
              <w:t>melhora a paciente que relata alívio, consegue realizar higiene pessoal e abaixa o escore na escala)</w:t>
            </w:r>
            <w:r w:rsidR="0013777A" w:rsidRPr="0013777A">
              <w:rPr>
                <w:rFonts w:cs="Calibri"/>
              </w:rPr>
              <w:t>;</w:t>
            </w:r>
          </w:p>
        </w:tc>
      </w:tr>
      <w:tr w:rsidR="003D2EE5" w:rsidRPr="003B1833" w14:paraId="42236479" w14:textId="77777777" w:rsidTr="0013777A">
        <w:trPr>
          <w:trHeight w:val="272"/>
        </w:trPr>
        <w:tc>
          <w:tcPr>
            <w:tcW w:w="2165" w:type="dxa"/>
            <w:vMerge/>
            <w:shd w:val="clear" w:color="auto" w:fill="FFFFFF" w:themeFill="background1"/>
          </w:tcPr>
          <w:p w14:paraId="18719EF4" w14:textId="77777777" w:rsidR="003D2EE5" w:rsidRDefault="003D2EE5" w:rsidP="009327BD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59EBB248" w14:textId="05883379" w:rsidR="00F700E1" w:rsidRPr="0013777A" w:rsidRDefault="003D2EE5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13777A">
              <w:rPr>
                <w:rFonts w:cs="Calibri"/>
              </w:rPr>
              <w:t>Se não melhorou, considerar manejo como DOR MODERADA</w:t>
            </w:r>
            <w:r w:rsidR="00194138" w:rsidRPr="0013777A">
              <w:rPr>
                <w:rFonts w:cs="Calibri"/>
              </w:rPr>
              <w:t xml:space="preserve">, com uso de adjuvantes ou </w:t>
            </w:r>
            <w:proofErr w:type="spellStart"/>
            <w:r w:rsidR="00194138" w:rsidRPr="0013777A">
              <w:rPr>
                <w:rFonts w:cs="Calibri"/>
              </w:rPr>
              <w:t>opióides</w:t>
            </w:r>
            <w:proofErr w:type="spellEnd"/>
            <w:r w:rsidR="00194138" w:rsidRPr="0013777A">
              <w:rPr>
                <w:rFonts w:cs="Calibri"/>
              </w:rPr>
              <w:t xml:space="preserve"> leves</w:t>
            </w:r>
            <w:r w:rsidR="0013777A" w:rsidRPr="0013777A">
              <w:rPr>
                <w:rFonts w:cs="Calibri"/>
              </w:rPr>
              <w:t>;</w:t>
            </w:r>
          </w:p>
        </w:tc>
      </w:tr>
      <w:tr w:rsidR="003D2EE5" w:rsidRPr="00BA08EA" w14:paraId="3D1A8D4F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2D21665D" w14:textId="77777777" w:rsidR="0013777A" w:rsidRDefault="003D2EE5" w:rsidP="003D2EE5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MANEJO DA DOR MODERADA</w:t>
            </w:r>
          </w:p>
          <w:p w14:paraId="3801EE2A" w14:textId="0D736E30" w:rsidR="006D1A4A" w:rsidRPr="00BA08EA" w:rsidRDefault="00194138" w:rsidP="0013777A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(pontuação de 4 a 7)</w:t>
            </w:r>
          </w:p>
        </w:tc>
      </w:tr>
      <w:tr w:rsidR="003D2EE5" w:rsidRPr="009327BD" w14:paraId="3361D071" w14:textId="77777777" w:rsidTr="0013777A">
        <w:tc>
          <w:tcPr>
            <w:tcW w:w="2165" w:type="dxa"/>
            <w:vMerge w:val="restart"/>
            <w:shd w:val="clear" w:color="auto" w:fill="FFFFFF" w:themeFill="background1"/>
          </w:tcPr>
          <w:p w14:paraId="3EABF78D" w14:textId="77777777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6A5CD0EB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32AC537D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77AED6DE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5868CED8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6644AC9E" w14:textId="73C1445E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PRINCIPAIS MEDICAÇÕES</w:t>
            </w:r>
          </w:p>
          <w:p w14:paraId="739F25C7" w14:textId="77777777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RECOMENDADAS</w:t>
            </w:r>
          </w:p>
        </w:tc>
        <w:tc>
          <w:tcPr>
            <w:tcW w:w="6899" w:type="dxa"/>
            <w:shd w:val="clear" w:color="auto" w:fill="FFFFFF" w:themeFill="background1"/>
          </w:tcPr>
          <w:p w14:paraId="5F276804" w14:textId="1E7AA3A8" w:rsidR="00901C7D" w:rsidRPr="0015728D" w:rsidRDefault="00901C7D" w:rsidP="00F700E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F700E1">
              <w:rPr>
                <w:rFonts w:cs="Calibri"/>
                <w:b/>
              </w:rPr>
              <w:lastRenderedPageBreak/>
              <w:t>Anti-inflamatórios</w:t>
            </w:r>
            <w:r>
              <w:rPr>
                <w:rFonts w:cs="Calibri"/>
              </w:rPr>
              <w:t xml:space="preserve"> (AINES):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color w:val="000000" w:themeColor="text1"/>
              </w:rPr>
              <w:t>PREFERENCIAL</w:t>
            </w:r>
          </w:p>
          <w:p w14:paraId="05CE3B85" w14:textId="77777777" w:rsidR="00901C7D" w:rsidRPr="0015728D" w:rsidRDefault="00901C7D" w:rsidP="00F700E1">
            <w:pPr>
              <w:pStyle w:val="PargrafodaLista"/>
              <w:spacing w:after="0" w:line="240" w:lineRule="auto"/>
              <w:ind w:left="1440"/>
              <w:jc w:val="center"/>
              <w:rPr>
                <w:rFonts w:cs="Calibri"/>
                <w:u w:val="single"/>
              </w:rPr>
            </w:pPr>
            <w:r w:rsidRPr="0015728D">
              <w:rPr>
                <w:rFonts w:cs="Calibri"/>
                <w:u w:val="single"/>
              </w:rPr>
              <w:t>PADRONIZADOS:</w:t>
            </w:r>
          </w:p>
          <w:p w14:paraId="53CE1D87" w14:textId="5AB8D246" w:rsidR="00901C7D" w:rsidRPr="00F700E1" w:rsidRDefault="00901C7D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lastRenderedPageBreak/>
              <w:t>Cetoprofeno</w:t>
            </w:r>
            <w:proofErr w:type="spellEnd"/>
            <w:r w:rsidRPr="00F700E1">
              <w:rPr>
                <w:bCs/>
              </w:rPr>
              <w:t xml:space="preserve"> (</w:t>
            </w:r>
            <w:proofErr w:type="spellStart"/>
            <w:r w:rsidRPr="00F700E1">
              <w:rPr>
                <w:bCs/>
              </w:rPr>
              <w:t>Profenid</w:t>
            </w:r>
            <w:r w:rsidRPr="00F700E1">
              <w:rPr>
                <w:bCs/>
                <w:vertAlign w:val="superscript"/>
              </w:rPr>
              <w:t>R</w:t>
            </w:r>
            <w:proofErr w:type="spellEnd"/>
            <w:r w:rsidRPr="00F700E1">
              <w:rPr>
                <w:bCs/>
              </w:rPr>
              <w:t xml:space="preserve"> </w:t>
            </w:r>
            <w:proofErr w:type="spellStart"/>
            <w:r w:rsidRPr="00F700E1">
              <w:rPr>
                <w:bCs/>
              </w:rPr>
              <w:t>cp</w:t>
            </w:r>
            <w:proofErr w:type="spellEnd"/>
            <w:r w:rsidRPr="00F700E1">
              <w:rPr>
                <w:bCs/>
              </w:rPr>
              <w:t xml:space="preserve"> 100 mg ou ampola 100 mg/2Ml para uso IM ou frasco 100 mg para diluir e usar EV):</w:t>
            </w:r>
            <w:r w:rsidR="0013777A" w:rsidRPr="00F700E1">
              <w:rPr>
                <w:bCs/>
              </w:rPr>
              <w:t xml:space="preserve"> 100 mg de 12/12 h</w:t>
            </w:r>
            <w:r w:rsidRPr="00F700E1">
              <w:rPr>
                <w:bCs/>
              </w:rPr>
              <w:t xml:space="preserve"> (via oral, IM ou IV)</w:t>
            </w:r>
            <w:r w:rsidR="0013777A" w:rsidRPr="00F700E1">
              <w:rPr>
                <w:bCs/>
              </w:rPr>
              <w:t>;</w:t>
            </w:r>
          </w:p>
          <w:p w14:paraId="254FB76F" w14:textId="17060C2F" w:rsidR="00901C7D" w:rsidRPr="00244D3C" w:rsidRDefault="00901C7D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Celecoxib</w:t>
            </w:r>
            <w:proofErr w:type="spellEnd"/>
            <w:r w:rsidRPr="003D2EE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Celebra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</w:t>
            </w:r>
            <w:proofErr w:type="spellEnd"/>
            <w:r>
              <w:rPr>
                <w:bCs/>
              </w:rPr>
              <w:t xml:space="preserve"> 200 mg)</w:t>
            </w:r>
            <w:r w:rsidR="0013777A">
              <w:rPr>
                <w:bCs/>
              </w:rPr>
              <w:t>:</w:t>
            </w:r>
            <w:r>
              <w:rPr>
                <w:bCs/>
              </w:rPr>
              <w:t xml:space="preserve"> 1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de</w:t>
            </w:r>
            <w:r w:rsidRPr="003D2EE5">
              <w:rPr>
                <w:bCs/>
              </w:rPr>
              <w:t xml:space="preserve"> 12/</w:t>
            </w:r>
            <w:r>
              <w:rPr>
                <w:bCs/>
              </w:rPr>
              <w:t>12 horas</w:t>
            </w:r>
            <w:r w:rsidR="0013777A">
              <w:rPr>
                <w:bCs/>
              </w:rPr>
              <w:t>;</w:t>
            </w:r>
          </w:p>
          <w:p w14:paraId="7E3CECAB" w14:textId="1908E7BB" w:rsidR="00901C7D" w:rsidRPr="00244D3C" w:rsidRDefault="00901C7D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Diclofenaco</w:t>
            </w:r>
            <w:proofErr w:type="spellEnd"/>
            <w:r w:rsidRPr="0013777A">
              <w:rPr>
                <w:b/>
                <w:bCs/>
              </w:rPr>
              <w:t xml:space="preserve"> sódico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Voltaren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</w:t>
            </w:r>
            <w:proofErr w:type="spellEnd"/>
            <w:r>
              <w:rPr>
                <w:bCs/>
              </w:rPr>
              <w:t xml:space="preserve"> 50 mg e </w:t>
            </w:r>
            <w:proofErr w:type="spellStart"/>
            <w:r>
              <w:rPr>
                <w:bCs/>
              </w:rPr>
              <w:t>amp</w:t>
            </w:r>
            <w:proofErr w:type="spellEnd"/>
            <w:r>
              <w:rPr>
                <w:bCs/>
              </w:rPr>
              <w:t xml:space="preserve"> 75 mg/3 ml</w:t>
            </w:r>
            <w:r w:rsidR="0013777A">
              <w:rPr>
                <w:bCs/>
              </w:rPr>
              <w:t xml:space="preserve">): </w:t>
            </w:r>
            <w:r>
              <w:rPr>
                <w:bCs/>
              </w:rPr>
              <w:t xml:space="preserve"> usar 50 a 100 mg VO ou IM de 12/12 h</w:t>
            </w:r>
            <w:r w:rsidR="0013777A">
              <w:rPr>
                <w:bCs/>
              </w:rPr>
              <w:t>;</w:t>
            </w:r>
          </w:p>
          <w:p w14:paraId="02506A0A" w14:textId="65A992A2" w:rsidR="00901C7D" w:rsidRPr="00004121" w:rsidRDefault="00901C7D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13777A">
              <w:rPr>
                <w:b/>
                <w:bCs/>
              </w:rPr>
              <w:t>Parecoxib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Bextra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frasco ampola 40 mg): 1 f</w:t>
            </w:r>
            <w:r w:rsidR="0013777A">
              <w:rPr>
                <w:bCs/>
              </w:rPr>
              <w:t>rasco EV de 24/24 h ou 12/12 h;</w:t>
            </w:r>
          </w:p>
          <w:p w14:paraId="6200B64E" w14:textId="77777777" w:rsidR="00901C7D" w:rsidRPr="00244D3C" w:rsidRDefault="00901C7D" w:rsidP="00F700E1">
            <w:pPr>
              <w:spacing w:after="0" w:line="240" w:lineRule="auto"/>
              <w:ind w:left="1080"/>
              <w:jc w:val="center"/>
              <w:rPr>
                <w:rFonts w:cs="Calibri"/>
                <w:u w:val="single"/>
              </w:rPr>
            </w:pPr>
            <w:r w:rsidRPr="00244D3C">
              <w:rPr>
                <w:rFonts w:cs="Calibri"/>
                <w:u w:val="single"/>
              </w:rPr>
              <w:t>NÃO PADRONIZADOS:</w:t>
            </w:r>
          </w:p>
          <w:p w14:paraId="3B793137" w14:textId="778A2A4E" w:rsidR="003D2EE5" w:rsidRPr="00F700E1" w:rsidRDefault="00901C7D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Tenoxicam</w:t>
            </w:r>
            <w:proofErr w:type="spellEnd"/>
            <w:r w:rsidRPr="00F700E1">
              <w:rPr>
                <w:bCs/>
              </w:rPr>
              <w:t xml:space="preserve"> (</w:t>
            </w:r>
            <w:proofErr w:type="spellStart"/>
            <w:r w:rsidRPr="00F700E1">
              <w:rPr>
                <w:bCs/>
              </w:rPr>
              <w:t>Teflan</w:t>
            </w:r>
            <w:r w:rsidRPr="00F700E1">
              <w:rPr>
                <w:bCs/>
                <w:vertAlign w:val="superscript"/>
              </w:rPr>
              <w:t>R</w:t>
            </w:r>
            <w:proofErr w:type="spellEnd"/>
            <w:r w:rsidRPr="00F700E1">
              <w:rPr>
                <w:bCs/>
                <w:vertAlign w:val="superscript"/>
              </w:rPr>
              <w:t xml:space="preserve"> </w:t>
            </w:r>
            <w:proofErr w:type="spellStart"/>
            <w:r w:rsidRPr="00F700E1">
              <w:rPr>
                <w:bCs/>
              </w:rPr>
              <w:t>cp</w:t>
            </w:r>
            <w:proofErr w:type="spellEnd"/>
            <w:r w:rsidRPr="00F700E1">
              <w:rPr>
                <w:bCs/>
              </w:rPr>
              <w:t xml:space="preserve"> 20 mg): 1 </w:t>
            </w:r>
            <w:proofErr w:type="spellStart"/>
            <w:r w:rsidRPr="00F700E1">
              <w:rPr>
                <w:bCs/>
              </w:rPr>
              <w:t>cp</w:t>
            </w:r>
            <w:proofErr w:type="spellEnd"/>
            <w:r w:rsidRPr="00F700E1">
              <w:rPr>
                <w:bCs/>
              </w:rPr>
              <w:t xml:space="preserve"> VO de 12/12 </w:t>
            </w:r>
            <w:proofErr w:type="spellStart"/>
            <w:r w:rsidRPr="00F700E1">
              <w:rPr>
                <w:bCs/>
              </w:rPr>
              <w:t>hs</w:t>
            </w:r>
            <w:proofErr w:type="spellEnd"/>
            <w:r w:rsidR="00F700E1">
              <w:rPr>
                <w:bCs/>
              </w:rPr>
              <w:t>;</w:t>
            </w:r>
          </w:p>
        </w:tc>
      </w:tr>
      <w:tr w:rsidR="003D2EE5" w:rsidRPr="009327BD" w14:paraId="01B9EDA8" w14:textId="77777777" w:rsidTr="000F6120">
        <w:trPr>
          <w:trHeight w:val="252"/>
        </w:trPr>
        <w:tc>
          <w:tcPr>
            <w:tcW w:w="2165" w:type="dxa"/>
            <w:vMerge/>
            <w:shd w:val="clear" w:color="auto" w:fill="FFFFFF" w:themeFill="background1"/>
          </w:tcPr>
          <w:p w14:paraId="4165DF0A" w14:textId="77777777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7C2A66E2" w14:textId="33032548" w:rsidR="003D2EE5" w:rsidRDefault="00901C7D" w:rsidP="00F700E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Associar se necessário - </w:t>
            </w:r>
            <w:r w:rsidR="003D2EE5" w:rsidRPr="00F700E1">
              <w:rPr>
                <w:b/>
                <w:bCs/>
              </w:rPr>
              <w:t>Dipirona</w:t>
            </w:r>
            <w:r w:rsidR="003D2EE5">
              <w:rPr>
                <w:bCs/>
              </w:rPr>
              <w:t>: 500 mg a 1 grama</w:t>
            </w:r>
            <w:r>
              <w:rPr>
                <w:bCs/>
              </w:rPr>
              <w:t xml:space="preserve"> (preferencialmente EV)</w:t>
            </w:r>
            <w:r w:rsidR="003D2EE5" w:rsidRPr="009327BD">
              <w:rPr>
                <w:bCs/>
              </w:rPr>
              <w:t xml:space="preserve"> até de 6/6</w:t>
            </w:r>
            <w:r w:rsidR="003D2EE5">
              <w:rPr>
                <w:bCs/>
              </w:rPr>
              <w:t xml:space="preserve"> </w:t>
            </w:r>
            <w:r w:rsidR="003D2EE5" w:rsidRPr="009327BD">
              <w:rPr>
                <w:bCs/>
              </w:rPr>
              <w:t>h</w:t>
            </w:r>
            <w:r w:rsidR="003D2EE5">
              <w:rPr>
                <w:bCs/>
              </w:rPr>
              <w:t xml:space="preserve"> (dose máxima diária 4 gramas)</w:t>
            </w:r>
            <w:r w:rsidR="00F700E1">
              <w:rPr>
                <w:bCs/>
              </w:rPr>
              <w:t>;</w:t>
            </w:r>
          </w:p>
        </w:tc>
      </w:tr>
      <w:tr w:rsidR="003D2EE5" w14:paraId="2B1FF0CD" w14:textId="77777777" w:rsidTr="0013777A">
        <w:trPr>
          <w:trHeight w:val="281"/>
        </w:trPr>
        <w:tc>
          <w:tcPr>
            <w:tcW w:w="2165" w:type="dxa"/>
            <w:vMerge w:val="restart"/>
            <w:shd w:val="clear" w:color="auto" w:fill="FFFFFF" w:themeFill="background1"/>
          </w:tcPr>
          <w:p w14:paraId="52930996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0B830B8B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205F8200" w14:textId="4BC82C7F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595FE910" w14:textId="77777777" w:rsidR="000F6120" w:rsidRDefault="000F6120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37DAC3DD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2CEEB539" w14:textId="03A6FA3E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REAVALIAR APÓS </w:t>
            </w:r>
            <w:r w:rsidR="00A418A7">
              <w:rPr>
                <w:rFonts w:cs="Calibri"/>
                <w:b/>
                <w:bCs/>
              </w:rPr>
              <w:t>30 MINUTOS</w:t>
            </w:r>
          </w:p>
        </w:tc>
        <w:tc>
          <w:tcPr>
            <w:tcW w:w="6899" w:type="dxa"/>
            <w:shd w:val="clear" w:color="auto" w:fill="FFFFFF" w:themeFill="background1"/>
          </w:tcPr>
          <w:p w14:paraId="5CAB1A61" w14:textId="6CE5B165" w:rsidR="003D2EE5" w:rsidRPr="00F700E1" w:rsidRDefault="003D2EE5" w:rsidP="00F700E1">
            <w:pPr>
              <w:spacing w:after="0" w:line="240" w:lineRule="auto"/>
              <w:jc w:val="both"/>
              <w:rPr>
                <w:rFonts w:cs="Calibri"/>
              </w:rPr>
            </w:pPr>
            <w:r w:rsidRPr="00F700E1">
              <w:rPr>
                <w:rFonts w:cs="Calibri"/>
              </w:rPr>
              <w:t>Se melhorou</w:t>
            </w:r>
            <w:r w:rsidR="00194138" w:rsidRPr="00F700E1">
              <w:rPr>
                <w:rFonts w:cs="Calibri"/>
              </w:rPr>
              <w:t>, manter a rotina (considerar melhora a paciente que relata alívio, consegue realizar higiene pessoal e abaixa o escore na escala)</w:t>
            </w:r>
            <w:r w:rsidR="00F700E1">
              <w:rPr>
                <w:rFonts w:cs="Calibri"/>
              </w:rPr>
              <w:t>;</w:t>
            </w:r>
          </w:p>
        </w:tc>
      </w:tr>
      <w:tr w:rsidR="003D2EE5" w14:paraId="600BF003" w14:textId="77777777" w:rsidTr="00F700E1">
        <w:trPr>
          <w:trHeight w:val="2739"/>
        </w:trPr>
        <w:tc>
          <w:tcPr>
            <w:tcW w:w="2165" w:type="dxa"/>
            <w:vMerge/>
            <w:shd w:val="clear" w:color="auto" w:fill="FFFFFF" w:themeFill="background1"/>
          </w:tcPr>
          <w:p w14:paraId="0365C217" w14:textId="77777777" w:rsidR="003D2EE5" w:rsidRDefault="003D2EE5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0E67C31A" w14:textId="23E61823" w:rsidR="003D2EE5" w:rsidRPr="00A31C6C" w:rsidRDefault="003D2EE5" w:rsidP="00F700E1">
            <w:pPr>
              <w:spacing w:after="0" w:line="240" w:lineRule="auto"/>
              <w:jc w:val="both"/>
              <w:rPr>
                <w:rFonts w:cs="Calibri"/>
                <w:color w:val="000000" w:themeColor="text1"/>
              </w:rPr>
            </w:pPr>
            <w:r w:rsidRPr="00A31C6C">
              <w:rPr>
                <w:rFonts w:cs="Calibri"/>
                <w:color w:val="000000" w:themeColor="text1"/>
              </w:rPr>
              <w:t>Se não melhorou, considerar manejo como DOR INTENSA</w:t>
            </w:r>
            <w:r w:rsidR="0062745D" w:rsidRPr="00A31C6C">
              <w:rPr>
                <w:rFonts w:cs="Calibri"/>
                <w:color w:val="000000" w:themeColor="text1"/>
              </w:rPr>
              <w:t xml:space="preserve">, iniciando com </w:t>
            </w:r>
            <w:proofErr w:type="spellStart"/>
            <w:r w:rsidR="0062745D" w:rsidRPr="00A31C6C">
              <w:rPr>
                <w:rFonts w:cs="Calibri"/>
                <w:color w:val="000000" w:themeColor="text1"/>
              </w:rPr>
              <w:t>opióides</w:t>
            </w:r>
            <w:proofErr w:type="spellEnd"/>
            <w:r w:rsidR="0062745D" w:rsidRPr="00A31C6C">
              <w:rPr>
                <w:rFonts w:cs="Calibri"/>
                <w:color w:val="000000" w:themeColor="text1"/>
              </w:rPr>
              <w:t xml:space="preserve"> fracos e considerar os adjuvantes:</w:t>
            </w:r>
          </w:p>
          <w:p w14:paraId="3AB9916A" w14:textId="27B263CB" w:rsidR="003D2EE5" w:rsidRPr="00A31C6C" w:rsidRDefault="00132062" w:rsidP="00F700E1">
            <w:pPr>
              <w:pStyle w:val="PargrafodaLista"/>
              <w:numPr>
                <w:ilvl w:val="1"/>
                <w:numId w:val="38"/>
              </w:numPr>
              <w:spacing w:after="160" w:line="240" w:lineRule="auto"/>
              <w:jc w:val="both"/>
              <w:rPr>
                <w:bCs/>
                <w:color w:val="000000" w:themeColor="text1"/>
              </w:rPr>
            </w:pPr>
            <w:proofErr w:type="spellStart"/>
            <w:r w:rsidRPr="00A31C6C">
              <w:rPr>
                <w:b/>
                <w:bCs/>
                <w:color w:val="000000" w:themeColor="text1"/>
              </w:rPr>
              <w:t>T</w:t>
            </w:r>
            <w:r w:rsidR="003D2EE5" w:rsidRPr="00A31C6C">
              <w:rPr>
                <w:b/>
                <w:bCs/>
                <w:color w:val="000000" w:themeColor="text1"/>
              </w:rPr>
              <w:t>ramadol</w:t>
            </w:r>
            <w:proofErr w:type="spellEnd"/>
            <w:r w:rsidR="003D2EE5" w:rsidRPr="00A31C6C">
              <w:rPr>
                <w:bCs/>
                <w:color w:val="000000" w:themeColor="text1"/>
              </w:rPr>
              <w:t xml:space="preserve"> </w:t>
            </w:r>
            <w:r w:rsidRPr="00A31C6C">
              <w:rPr>
                <w:bCs/>
                <w:color w:val="000000" w:themeColor="text1"/>
              </w:rPr>
              <w:t>(</w:t>
            </w:r>
            <w:proofErr w:type="spellStart"/>
            <w:r w:rsidRPr="00A31C6C">
              <w:rPr>
                <w:bCs/>
                <w:color w:val="000000" w:themeColor="text1"/>
              </w:rPr>
              <w:t>Tramal</w:t>
            </w:r>
            <w:r w:rsidRPr="00A31C6C">
              <w:rPr>
                <w:bCs/>
                <w:color w:val="000000" w:themeColor="text1"/>
                <w:vertAlign w:val="superscript"/>
              </w:rPr>
              <w:t>R</w:t>
            </w:r>
            <w:proofErr w:type="spellEnd"/>
            <w:r w:rsidR="006E1DDB" w:rsidRPr="00A31C6C">
              <w:rPr>
                <w:bCs/>
                <w:color w:val="000000" w:themeColor="text1"/>
              </w:rPr>
              <w:t xml:space="preserve"> ampolas de 1 ou 2 ml na concentração de 50 mg/ml ou </w:t>
            </w:r>
            <w:proofErr w:type="spellStart"/>
            <w:r w:rsidR="006E1DDB" w:rsidRPr="00A31C6C">
              <w:rPr>
                <w:bCs/>
                <w:color w:val="000000" w:themeColor="text1"/>
              </w:rPr>
              <w:t>comp</w:t>
            </w:r>
            <w:proofErr w:type="spellEnd"/>
            <w:r w:rsidR="006E1DDB" w:rsidRPr="00A31C6C">
              <w:rPr>
                <w:bCs/>
                <w:color w:val="000000" w:themeColor="text1"/>
              </w:rPr>
              <w:t xml:space="preserve"> 50 mg</w:t>
            </w:r>
            <w:r w:rsidR="00F700E1" w:rsidRPr="00A31C6C">
              <w:rPr>
                <w:bCs/>
                <w:color w:val="000000" w:themeColor="text1"/>
              </w:rPr>
              <w:t>):</w:t>
            </w:r>
            <w:r w:rsidRPr="00A31C6C">
              <w:rPr>
                <w:bCs/>
                <w:color w:val="000000" w:themeColor="text1"/>
              </w:rPr>
              <w:t xml:space="preserve">  </w:t>
            </w:r>
            <w:r w:rsidR="003D2EE5" w:rsidRPr="00A31C6C">
              <w:rPr>
                <w:bCs/>
                <w:color w:val="000000" w:themeColor="text1"/>
              </w:rPr>
              <w:t>50 a 100</w:t>
            </w:r>
            <w:r w:rsidRPr="00A31C6C">
              <w:rPr>
                <w:bCs/>
                <w:color w:val="000000" w:themeColor="text1"/>
              </w:rPr>
              <w:t xml:space="preserve"> </w:t>
            </w:r>
            <w:r w:rsidR="003D2EE5" w:rsidRPr="00A31C6C">
              <w:rPr>
                <w:bCs/>
                <w:color w:val="000000" w:themeColor="text1"/>
              </w:rPr>
              <w:t>mg venoso ou oral até de 6/6 horas</w:t>
            </w:r>
            <w:r w:rsidR="00F700E1" w:rsidRPr="00A31C6C">
              <w:rPr>
                <w:bCs/>
                <w:color w:val="000000" w:themeColor="text1"/>
              </w:rPr>
              <w:t>;</w:t>
            </w:r>
          </w:p>
          <w:p w14:paraId="255EEF0E" w14:textId="7F557DB9" w:rsidR="006E1DDB" w:rsidRPr="00A31C6C" w:rsidRDefault="006E1DDB" w:rsidP="00F700E1">
            <w:pPr>
              <w:pStyle w:val="PargrafodaLista"/>
              <w:numPr>
                <w:ilvl w:val="1"/>
                <w:numId w:val="38"/>
              </w:numPr>
              <w:spacing w:after="160" w:line="240" w:lineRule="auto"/>
              <w:jc w:val="both"/>
              <w:rPr>
                <w:bCs/>
                <w:color w:val="000000" w:themeColor="text1"/>
              </w:rPr>
            </w:pPr>
            <w:proofErr w:type="spellStart"/>
            <w:r w:rsidRPr="00A31C6C">
              <w:rPr>
                <w:b/>
                <w:bCs/>
                <w:color w:val="000000" w:themeColor="text1"/>
              </w:rPr>
              <w:t>Tramadol</w:t>
            </w:r>
            <w:proofErr w:type="spellEnd"/>
            <w:r w:rsidRPr="00A31C6C">
              <w:rPr>
                <w:b/>
                <w:bCs/>
                <w:color w:val="000000" w:themeColor="text1"/>
              </w:rPr>
              <w:t xml:space="preserve"> + Paracetamol</w:t>
            </w:r>
            <w:r w:rsidRPr="00A31C6C">
              <w:rPr>
                <w:bCs/>
                <w:color w:val="000000" w:themeColor="text1"/>
              </w:rPr>
              <w:t xml:space="preserve"> (</w:t>
            </w:r>
            <w:proofErr w:type="spellStart"/>
            <w:proofErr w:type="gramStart"/>
            <w:r w:rsidRPr="00A31C6C">
              <w:rPr>
                <w:bCs/>
                <w:color w:val="000000" w:themeColor="text1"/>
              </w:rPr>
              <w:t>Ultracet</w:t>
            </w:r>
            <w:r w:rsidRPr="00A31C6C">
              <w:rPr>
                <w:bCs/>
                <w:color w:val="000000" w:themeColor="text1"/>
                <w:vertAlign w:val="superscript"/>
              </w:rPr>
              <w:t>R</w:t>
            </w:r>
            <w:proofErr w:type="spellEnd"/>
            <w:r w:rsidRPr="00A31C6C">
              <w:rPr>
                <w:bCs/>
                <w:color w:val="000000" w:themeColor="text1"/>
              </w:rPr>
              <w:t xml:space="preserve">  37</w:t>
            </w:r>
            <w:proofErr w:type="gramEnd"/>
            <w:r w:rsidRPr="00A31C6C">
              <w:rPr>
                <w:bCs/>
                <w:color w:val="000000" w:themeColor="text1"/>
              </w:rPr>
              <w:t>,5 + 325 mg)</w:t>
            </w:r>
            <w:r w:rsidR="00F700E1" w:rsidRPr="00A31C6C">
              <w:rPr>
                <w:bCs/>
                <w:color w:val="000000" w:themeColor="text1"/>
              </w:rPr>
              <w:t>:</w:t>
            </w:r>
            <w:r w:rsidRPr="00A31C6C">
              <w:rPr>
                <w:bCs/>
                <w:color w:val="000000" w:themeColor="text1"/>
              </w:rPr>
              <w:t xml:space="preserve"> 1 a 2 </w:t>
            </w:r>
            <w:proofErr w:type="spellStart"/>
            <w:r w:rsidRPr="00A31C6C">
              <w:rPr>
                <w:bCs/>
                <w:color w:val="000000" w:themeColor="text1"/>
              </w:rPr>
              <w:t>cp</w:t>
            </w:r>
            <w:proofErr w:type="spellEnd"/>
            <w:r w:rsidRPr="00A31C6C">
              <w:rPr>
                <w:bCs/>
                <w:color w:val="000000" w:themeColor="text1"/>
              </w:rPr>
              <w:t xml:space="preserve"> até de 6/6 horas</w:t>
            </w:r>
            <w:r w:rsidR="00F700E1" w:rsidRPr="00A31C6C">
              <w:rPr>
                <w:bCs/>
                <w:color w:val="000000" w:themeColor="text1"/>
              </w:rPr>
              <w:t>;</w:t>
            </w:r>
          </w:p>
          <w:p w14:paraId="66B1F93F" w14:textId="63BFFE94" w:rsidR="003D2EE5" w:rsidRPr="00A31C6C" w:rsidRDefault="00132062" w:rsidP="00F700E1">
            <w:pPr>
              <w:pStyle w:val="PargrafodaLista"/>
              <w:numPr>
                <w:ilvl w:val="1"/>
                <w:numId w:val="38"/>
              </w:numPr>
              <w:spacing w:after="160" w:line="240" w:lineRule="auto"/>
              <w:jc w:val="both"/>
              <w:rPr>
                <w:bCs/>
                <w:color w:val="000000" w:themeColor="text1"/>
              </w:rPr>
            </w:pPr>
            <w:r w:rsidRPr="00A31C6C">
              <w:rPr>
                <w:b/>
                <w:bCs/>
                <w:color w:val="000000" w:themeColor="text1"/>
              </w:rPr>
              <w:t>C</w:t>
            </w:r>
            <w:r w:rsidR="003D2EE5" w:rsidRPr="00A31C6C">
              <w:rPr>
                <w:b/>
                <w:bCs/>
                <w:color w:val="000000" w:themeColor="text1"/>
              </w:rPr>
              <w:t>odeína</w:t>
            </w:r>
            <w:r w:rsidR="0015728D" w:rsidRPr="00A31C6C">
              <w:rPr>
                <w:b/>
                <w:bCs/>
                <w:color w:val="000000" w:themeColor="text1"/>
              </w:rPr>
              <w:t xml:space="preserve"> + Paracetamol</w:t>
            </w:r>
            <w:r w:rsidR="0015728D" w:rsidRPr="00A31C6C">
              <w:rPr>
                <w:bCs/>
                <w:color w:val="000000" w:themeColor="text1"/>
              </w:rPr>
              <w:t xml:space="preserve"> (</w:t>
            </w:r>
            <w:proofErr w:type="spellStart"/>
            <w:r w:rsidR="0015728D" w:rsidRPr="00A31C6C">
              <w:rPr>
                <w:bCs/>
                <w:color w:val="000000" w:themeColor="text1"/>
              </w:rPr>
              <w:t>Tylex</w:t>
            </w:r>
            <w:r w:rsidR="0015728D" w:rsidRPr="00A31C6C">
              <w:rPr>
                <w:bCs/>
                <w:color w:val="000000" w:themeColor="text1"/>
                <w:vertAlign w:val="superscript"/>
              </w:rPr>
              <w:t>R</w:t>
            </w:r>
            <w:proofErr w:type="spellEnd"/>
            <w:r w:rsidR="0015728D" w:rsidRPr="00A31C6C">
              <w:rPr>
                <w:bCs/>
                <w:color w:val="000000" w:themeColor="text1"/>
              </w:rPr>
              <w:t xml:space="preserve"> 30 mg + 500 mg): </w:t>
            </w:r>
            <w:r w:rsidR="003D2EE5" w:rsidRPr="00A31C6C">
              <w:rPr>
                <w:bCs/>
                <w:color w:val="000000" w:themeColor="text1"/>
              </w:rPr>
              <w:t xml:space="preserve"> </w:t>
            </w:r>
            <w:r w:rsidR="0015728D" w:rsidRPr="00A31C6C">
              <w:rPr>
                <w:bCs/>
                <w:color w:val="000000" w:themeColor="text1"/>
              </w:rPr>
              <w:t>1 a 2 comp</w:t>
            </w:r>
            <w:r w:rsidR="00F700E1" w:rsidRPr="00A31C6C">
              <w:rPr>
                <w:bCs/>
                <w:color w:val="000000" w:themeColor="text1"/>
              </w:rPr>
              <w:t>.</w:t>
            </w:r>
            <w:r w:rsidR="0015728D" w:rsidRPr="00A31C6C">
              <w:rPr>
                <w:bCs/>
                <w:color w:val="000000" w:themeColor="text1"/>
              </w:rPr>
              <w:t xml:space="preserve"> </w:t>
            </w:r>
            <w:r w:rsidR="003D2EE5" w:rsidRPr="00A31C6C">
              <w:rPr>
                <w:bCs/>
                <w:color w:val="000000" w:themeColor="text1"/>
              </w:rPr>
              <w:t xml:space="preserve"> </w:t>
            </w:r>
            <w:proofErr w:type="gramStart"/>
            <w:r w:rsidR="003D2EE5" w:rsidRPr="00A31C6C">
              <w:rPr>
                <w:bCs/>
                <w:color w:val="000000" w:themeColor="text1"/>
              </w:rPr>
              <w:t>oral</w:t>
            </w:r>
            <w:proofErr w:type="gramEnd"/>
            <w:r w:rsidR="003D2EE5" w:rsidRPr="00A31C6C">
              <w:rPr>
                <w:bCs/>
                <w:color w:val="000000" w:themeColor="text1"/>
              </w:rPr>
              <w:t xml:space="preserve"> até de 6/6 horas</w:t>
            </w:r>
            <w:r w:rsidR="00F700E1" w:rsidRPr="00A31C6C">
              <w:rPr>
                <w:bCs/>
                <w:color w:val="000000" w:themeColor="text1"/>
              </w:rPr>
              <w:t>;</w:t>
            </w:r>
          </w:p>
          <w:p w14:paraId="3BB1E39C" w14:textId="77777777" w:rsidR="00733C3E" w:rsidRPr="000F6120" w:rsidRDefault="008340A8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/>
                <w:bCs/>
              </w:rPr>
              <w:t>Metadona</w:t>
            </w:r>
            <w:proofErr w:type="spellEnd"/>
            <w:r w:rsidRPr="000F6120">
              <w:rPr>
                <w:bCs/>
              </w:rPr>
              <w:t xml:space="preserve"> </w:t>
            </w:r>
          </w:p>
          <w:p w14:paraId="419F3420" w14:textId="77777777" w:rsidR="008340A8" w:rsidRPr="000F6120" w:rsidRDefault="008340A8" w:rsidP="00733C3E">
            <w:pPr>
              <w:pStyle w:val="PargrafodaLista"/>
              <w:numPr>
                <w:ilvl w:val="2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Cs/>
              </w:rPr>
              <w:t>Mytedon</w:t>
            </w:r>
            <w:r w:rsidRPr="000F6120">
              <w:rPr>
                <w:bCs/>
                <w:vertAlign w:val="superscript"/>
              </w:rPr>
              <w:t>R</w:t>
            </w:r>
            <w:proofErr w:type="spellEnd"/>
            <w:r w:rsidR="00733C3E" w:rsidRPr="000F6120">
              <w:rPr>
                <w:bCs/>
              </w:rPr>
              <w:t xml:space="preserve"> </w:t>
            </w:r>
            <w:proofErr w:type="spellStart"/>
            <w:r w:rsidR="00733C3E" w:rsidRPr="000F6120">
              <w:rPr>
                <w:bCs/>
              </w:rPr>
              <w:t>cp</w:t>
            </w:r>
            <w:proofErr w:type="spellEnd"/>
            <w:r w:rsidR="00733C3E" w:rsidRPr="000F6120">
              <w:rPr>
                <w:bCs/>
              </w:rPr>
              <w:t xml:space="preserve"> 5 mg</w:t>
            </w:r>
            <w:r w:rsidRPr="000F6120">
              <w:rPr>
                <w:bCs/>
              </w:rPr>
              <w:t xml:space="preserve">: 1 </w:t>
            </w:r>
            <w:proofErr w:type="spellStart"/>
            <w:r w:rsidRPr="000F6120">
              <w:rPr>
                <w:bCs/>
              </w:rPr>
              <w:t>cp</w:t>
            </w:r>
            <w:proofErr w:type="spellEnd"/>
            <w:r w:rsidRPr="000F6120">
              <w:rPr>
                <w:bCs/>
              </w:rPr>
              <w:t xml:space="preserve"> VO até de 6/6 horas</w:t>
            </w:r>
            <w:r w:rsidR="00F700E1" w:rsidRPr="000F6120">
              <w:rPr>
                <w:bCs/>
              </w:rPr>
              <w:t>;</w:t>
            </w:r>
          </w:p>
          <w:p w14:paraId="71D3A91F" w14:textId="401A176C" w:rsidR="00733C3E" w:rsidRPr="003D2EE5" w:rsidRDefault="00733C3E" w:rsidP="00733C3E">
            <w:pPr>
              <w:pStyle w:val="PargrafodaLista"/>
              <w:numPr>
                <w:ilvl w:val="2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Cs/>
              </w:rPr>
              <w:t>Mytedon</w:t>
            </w:r>
            <w:r w:rsidRPr="000F6120">
              <w:rPr>
                <w:bCs/>
                <w:vertAlign w:val="superscript"/>
              </w:rPr>
              <w:t>R</w:t>
            </w:r>
            <w:proofErr w:type="spellEnd"/>
            <w:r w:rsidRPr="000F6120">
              <w:rPr>
                <w:bCs/>
              </w:rPr>
              <w:t xml:space="preserve"> </w:t>
            </w:r>
            <w:proofErr w:type="spellStart"/>
            <w:r w:rsidRPr="000F6120">
              <w:rPr>
                <w:bCs/>
              </w:rPr>
              <w:t>amp</w:t>
            </w:r>
            <w:proofErr w:type="spellEnd"/>
            <w:r w:rsidRPr="000F6120">
              <w:rPr>
                <w:bCs/>
              </w:rPr>
              <w:t xml:space="preserve"> 10 mg/ml: 0,5 a 1 ampola SC, IM ou EV lento</w:t>
            </w:r>
            <w:r w:rsidR="000F6120">
              <w:rPr>
                <w:bCs/>
              </w:rPr>
              <w:t>;</w:t>
            </w:r>
          </w:p>
        </w:tc>
      </w:tr>
      <w:tr w:rsidR="0072553E" w:rsidRPr="003D2EE5" w14:paraId="60145566" w14:textId="77777777" w:rsidTr="0013777A">
        <w:trPr>
          <w:trHeight w:val="627"/>
        </w:trPr>
        <w:tc>
          <w:tcPr>
            <w:tcW w:w="2165" w:type="dxa"/>
            <w:shd w:val="clear" w:color="auto" w:fill="FFFFFF" w:themeFill="background1"/>
          </w:tcPr>
          <w:p w14:paraId="602A2480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5CCC703B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2013A7C9" w14:textId="77777777" w:rsidR="00F700E1" w:rsidRDefault="00F700E1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6DDFD372" w14:textId="56FF6D5F" w:rsidR="0072553E" w:rsidRDefault="0072553E" w:rsidP="0013777A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CONSIDERAR ADJUVANTES</w:t>
            </w:r>
          </w:p>
        </w:tc>
        <w:tc>
          <w:tcPr>
            <w:tcW w:w="6899" w:type="dxa"/>
            <w:shd w:val="clear" w:color="auto" w:fill="FFFFFF" w:themeFill="background1"/>
          </w:tcPr>
          <w:p w14:paraId="3EBF9CFF" w14:textId="7EA5AA25" w:rsidR="0072553E" w:rsidRDefault="0062745D" w:rsidP="00F700E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F700E1">
              <w:rPr>
                <w:b/>
                <w:bCs/>
              </w:rPr>
              <w:t>D</w:t>
            </w:r>
            <w:r w:rsidR="0072553E" w:rsidRPr="00F700E1">
              <w:rPr>
                <w:b/>
                <w:bCs/>
              </w:rPr>
              <w:t>exametasona</w:t>
            </w:r>
            <w:proofErr w:type="spellEnd"/>
            <w:r w:rsidR="0072553E">
              <w:rPr>
                <w:bCs/>
              </w:rPr>
              <w:t xml:space="preserve"> </w:t>
            </w:r>
            <w:r w:rsidR="008D050B">
              <w:rPr>
                <w:bCs/>
              </w:rPr>
              <w:t>(</w:t>
            </w:r>
            <w:proofErr w:type="spellStart"/>
            <w:r w:rsidR="008D050B">
              <w:rPr>
                <w:bCs/>
              </w:rPr>
              <w:t>Decadron</w:t>
            </w:r>
            <w:r w:rsidR="008D050B">
              <w:rPr>
                <w:bCs/>
                <w:vertAlign w:val="superscript"/>
              </w:rPr>
              <w:t>R</w:t>
            </w:r>
            <w:proofErr w:type="spellEnd"/>
            <w:r w:rsidR="008D050B">
              <w:rPr>
                <w:bCs/>
                <w:vertAlign w:val="superscript"/>
              </w:rPr>
              <w:t xml:space="preserve"> </w:t>
            </w:r>
            <w:r w:rsidR="008D050B">
              <w:rPr>
                <w:bCs/>
              </w:rPr>
              <w:t>ampola 10 mg/2,5 ml): 2 ml (8 mg) para uso EV</w:t>
            </w:r>
            <w:r w:rsidR="00F700E1">
              <w:rPr>
                <w:bCs/>
              </w:rPr>
              <w:t>;</w:t>
            </w:r>
          </w:p>
          <w:p w14:paraId="57F6C1B8" w14:textId="6C2B83FC" w:rsidR="0072553E" w:rsidRDefault="006D1A4A" w:rsidP="00F700E1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700E1">
              <w:rPr>
                <w:b/>
                <w:bCs/>
              </w:rPr>
              <w:t>A</w:t>
            </w:r>
            <w:r w:rsidR="0072553E" w:rsidRPr="00F700E1">
              <w:rPr>
                <w:b/>
                <w:bCs/>
              </w:rPr>
              <w:t>nticonvulsivantes</w:t>
            </w:r>
            <w:r>
              <w:rPr>
                <w:bCs/>
              </w:rPr>
              <w:t xml:space="preserve"> (NÃO PADRONIZADOS):</w:t>
            </w:r>
          </w:p>
          <w:p w14:paraId="30729CF1" w14:textId="0CC629A9" w:rsidR="0072553E" w:rsidRDefault="006D1A4A" w:rsidP="00F700E1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F700E1">
              <w:rPr>
                <w:b/>
                <w:bCs/>
              </w:rPr>
              <w:t>P</w:t>
            </w:r>
            <w:r w:rsidR="0072553E" w:rsidRPr="00F700E1">
              <w:rPr>
                <w:b/>
                <w:bCs/>
              </w:rPr>
              <w:t>regabalina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150 mg):</w:t>
            </w:r>
            <w:r w:rsidR="0072553E" w:rsidRPr="003D2EE5">
              <w:rPr>
                <w:bCs/>
              </w:rPr>
              <w:t xml:space="preserve"> </w:t>
            </w:r>
            <w:r>
              <w:rPr>
                <w:bCs/>
              </w:rPr>
              <w:t xml:space="preserve">1 a 2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até</w:t>
            </w:r>
            <w:r w:rsidR="0072553E" w:rsidRPr="003D2EE5">
              <w:rPr>
                <w:bCs/>
              </w:rPr>
              <w:t xml:space="preserve"> de 12/12 horas</w:t>
            </w:r>
            <w:r w:rsidR="00F700E1">
              <w:rPr>
                <w:bCs/>
              </w:rPr>
              <w:t>;</w:t>
            </w:r>
          </w:p>
          <w:p w14:paraId="37FB8F03" w14:textId="36632672" w:rsidR="0072553E" w:rsidRDefault="0072553E" w:rsidP="00F700E1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="006D1A4A" w:rsidRPr="00F700E1">
              <w:rPr>
                <w:b/>
                <w:bCs/>
              </w:rPr>
              <w:t>G</w:t>
            </w:r>
            <w:r w:rsidRPr="00F700E1">
              <w:rPr>
                <w:b/>
                <w:bCs/>
              </w:rPr>
              <w:t>abapentina</w:t>
            </w:r>
            <w:proofErr w:type="spellEnd"/>
            <w:r w:rsidR="006D1A4A">
              <w:rPr>
                <w:bCs/>
              </w:rPr>
              <w:t xml:space="preserve"> (</w:t>
            </w:r>
            <w:proofErr w:type="spellStart"/>
            <w:r w:rsidR="006D1A4A">
              <w:rPr>
                <w:bCs/>
              </w:rPr>
              <w:t>cp</w:t>
            </w:r>
            <w:proofErr w:type="spellEnd"/>
            <w:r w:rsidR="006D1A4A">
              <w:rPr>
                <w:bCs/>
              </w:rPr>
              <w:t xml:space="preserve"> 300 mg</w:t>
            </w:r>
            <w:proofErr w:type="gramStart"/>
            <w:r w:rsidR="006D1A4A">
              <w:rPr>
                <w:bCs/>
              </w:rPr>
              <w:t>) :</w:t>
            </w:r>
            <w:proofErr w:type="gramEnd"/>
            <w:r w:rsidR="006D1A4A">
              <w:rPr>
                <w:bCs/>
              </w:rPr>
              <w:t xml:space="preserve"> 2 </w:t>
            </w:r>
            <w:proofErr w:type="spellStart"/>
            <w:r w:rsidR="006D1A4A">
              <w:rPr>
                <w:bCs/>
              </w:rPr>
              <w:t>cp</w:t>
            </w:r>
            <w:proofErr w:type="spellEnd"/>
            <w:r w:rsidRPr="003D2EE5">
              <w:rPr>
                <w:bCs/>
              </w:rPr>
              <w:t xml:space="preserve"> </w:t>
            </w:r>
            <w:r w:rsidR="006D1A4A">
              <w:rPr>
                <w:bCs/>
              </w:rPr>
              <w:t>VO</w:t>
            </w:r>
            <w:r>
              <w:rPr>
                <w:bCs/>
              </w:rPr>
              <w:t xml:space="preserve"> até de 12/12 horas</w:t>
            </w:r>
            <w:r w:rsidR="00F700E1">
              <w:rPr>
                <w:bCs/>
              </w:rPr>
              <w:t>;</w:t>
            </w:r>
          </w:p>
          <w:p w14:paraId="48AA282D" w14:textId="08B0B66B" w:rsidR="0072553E" w:rsidRDefault="006D1A4A" w:rsidP="00F700E1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Pr="00F700E1">
              <w:rPr>
                <w:b/>
                <w:bCs/>
              </w:rPr>
              <w:t>Carbamazepina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200 mg): 2 a 3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até de 8/8 horas</w:t>
            </w:r>
            <w:r w:rsidR="00F700E1">
              <w:rPr>
                <w:bCs/>
              </w:rPr>
              <w:t>;</w:t>
            </w:r>
          </w:p>
          <w:p w14:paraId="014057AA" w14:textId="180CACD6" w:rsidR="00F700E1" w:rsidRPr="000F6120" w:rsidRDefault="006D1A4A" w:rsidP="00F700E1">
            <w:pPr>
              <w:pStyle w:val="PargrafodaLista"/>
              <w:numPr>
                <w:ilvl w:val="1"/>
                <w:numId w:val="36"/>
              </w:numPr>
              <w:spacing w:after="0" w:line="240" w:lineRule="auto"/>
              <w:jc w:val="both"/>
              <w:rPr>
                <w:bCs/>
              </w:rPr>
            </w:pPr>
            <w:r w:rsidRPr="00F700E1">
              <w:rPr>
                <w:bCs/>
              </w:rPr>
              <w:t xml:space="preserve"> </w:t>
            </w:r>
            <w:r w:rsidRPr="00F700E1">
              <w:rPr>
                <w:b/>
                <w:bCs/>
              </w:rPr>
              <w:t>Anestésicos locais:</w:t>
            </w:r>
            <w:r w:rsidRPr="00F700E1">
              <w:rPr>
                <w:bCs/>
              </w:rPr>
              <w:t xml:space="preserve"> ótima opção e para ser feito, </w:t>
            </w:r>
            <w:r w:rsidR="00F700E1" w:rsidRPr="00F700E1">
              <w:rPr>
                <w:bCs/>
              </w:rPr>
              <w:t>contatar</w:t>
            </w:r>
            <w:r w:rsidR="00F700E1">
              <w:rPr>
                <w:bCs/>
              </w:rPr>
              <w:t xml:space="preserve"> </w:t>
            </w:r>
            <w:r w:rsidR="00F700E1" w:rsidRPr="00F700E1">
              <w:rPr>
                <w:b/>
                <w:bCs/>
              </w:rPr>
              <w:t>EQUIPE DA DOR</w:t>
            </w:r>
            <w:r w:rsidR="00F700E1">
              <w:rPr>
                <w:bCs/>
              </w:rPr>
              <w:t xml:space="preserve"> (contatos ao final do protocolo);</w:t>
            </w:r>
          </w:p>
          <w:p w14:paraId="504D3770" w14:textId="2F2B1440" w:rsidR="00F700E1" w:rsidRDefault="00F700E1" w:rsidP="00F700E1">
            <w:pPr>
              <w:spacing w:after="0" w:line="240" w:lineRule="auto"/>
              <w:jc w:val="both"/>
              <w:rPr>
                <w:bCs/>
              </w:rPr>
            </w:pPr>
          </w:p>
          <w:p w14:paraId="22B4BA7C" w14:textId="4882EC57" w:rsidR="00F700E1" w:rsidRDefault="00F700E1" w:rsidP="00F700E1">
            <w:pPr>
              <w:spacing w:after="0" w:line="240" w:lineRule="auto"/>
              <w:jc w:val="both"/>
              <w:rPr>
                <w:bCs/>
              </w:rPr>
            </w:pPr>
          </w:p>
          <w:p w14:paraId="61B19E2B" w14:textId="77777777" w:rsidR="00F700E1" w:rsidRDefault="00F700E1" w:rsidP="00F700E1">
            <w:pPr>
              <w:spacing w:after="0" w:line="240" w:lineRule="auto"/>
              <w:jc w:val="both"/>
              <w:rPr>
                <w:bCs/>
              </w:rPr>
            </w:pPr>
          </w:p>
          <w:p w14:paraId="11BD2BE0" w14:textId="77777777" w:rsidR="00F700E1" w:rsidRDefault="00F700E1" w:rsidP="00F700E1">
            <w:pPr>
              <w:spacing w:after="0" w:line="240" w:lineRule="auto"/>
              <w:jc w:val="both"/>
              <w:rPr>
                <w:bCs/>
              </w:rPr>
            </w:pPr>
          </w:p>
          <w:p w14:paraId="5ACA4EF5" w14:textId="77777777" w:rsidR="00F700E1" w:rsidRDefault="00F700E1" w:rsidP="00F700E1">
            <w:pPr>
              <w:spacing w:after="0" w:line="240" w:lineRule="auto"/>
              <w:jc w:val="both"/>
              <w:rPr>
                <w:bCs/>
              </w:rPr>
            </w:pPr>
          </w:p>
          <w:p w14:paraId="42D42821" w14:textId="7E068286" w:rsidR="00F700E1" w:rsidRPr="00F700E1" w:rsidRDefault="00F700E1" w:rsidP="00F700E1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3D2EE5" w:rsidRPr="00BA08EA" w14:paraId="37D5021A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5E77CE2B" w14:textId="77777777" w:rsidR="00F700E1" w:rsidRDefault="003D2EE5" w:rsidP="00F700E1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MANEJO DA DOR INTENSA</w:t>
            </w:r>
          </w:p>
          <w:p w14:paraId="65744056" w14:textId="6E2F4322" w:rsidR="006D1A4A" w:rsidRPr="00BA08EA" w:rsidRDefault="00194138" w:rsidP="00F700E1">
            <w:pPr>
              <w:spacing w:after="0" w:line="240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(pontuação de 8 a 10)</w:t>
            </w:r>
          </w:p>
        </w:tc>
      </w:tr>
      <w:tr w:rsidR="006D1A4A" w:rsidRPr="009327BD" w14:paraId="136D9380" w14:textId="77777777" w:rsidTr="0013777A">
        <w:trPr>
          <w:trHeight w:val="1707"/>
        </w:trPr>
        <w:tc>
          <w:tcPr>
            <w:tcW w:w="2165" w:type="dxa"/>
            <w:vMerge w:val="restart"/>
            <w:shd w:val="clear" w:color="auto" w:fill="FFFFFF" w:themeFill="background1"/>
          </w:tcPr>
          <w:p w14:paraId="01BE77A4" w14:textId="77777777" w:rsidR="006D1A4A" w:rsidRDefault="006D1A4A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74A9003D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25D83559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51339662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2BB53315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34E48831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270D8047" w14:textId="239FFFDC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4C27707D" w14:textId="79A6D2DB" w:rsidR="000F6120" w:rsidRDefault="000F6120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0FF41EFC" w14:textId="77777777" w:rsidR="000F6120" w:rsidRDefault="000F6120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6BDE0351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728720CE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40C2793A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7B0D2458" w14:textId="77777777" w:rsidR="00F700E1" w:rsidRDefault="00F700E1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03007A0A" w14:textId="62F20DED" w:rsidR="006D1A4A" w:rsidRDefault="006D1A4A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PRINCIPAIS MEDICAÇÕES</w:t>
            </w:r>
          </w:p>
          <w:p w14:paraId="44569299" w14:textId="77777777" w:rsidR="006D1A4A" w:rsidRDefault="006D1A4A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RECOMENDADAS</w:t>
            </w:r>
          </w:p>
        </w:tc>
        <w:tc>
          <w:tcPr>
            <w:tcW w:w="6899" w:type="dxa"/>
            <w:shd w:val="clear" w:color="auto" w:fill="FFFFFF" w:themeFill="background1"/>
          </w:tcPr>
          <w:p w14:paraId="614101B5" w14:textId="4A1939FD" w:rsidR="006D1A4A" w:rsidRDefault="006D1A4A" w:rsidP="00F700E1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F700E1">
              <w:rPr>
                <w:b/>
                <w:bCs/>
              </w:rPr>
              <w:lastRenderedPageBreak/>
              <w:t>Opióides</w:t>
            </w:r>
            <w:proofErr w:type="spellEnd"/>
            <w:r w:rsidRPr="00F700E1">
              <w:rPr>
                <w:b/>
                <w:bCs/>
              </w:rPr>
              <w:t xml:space="preserve"> potentes</w:t>
            </w:r>
            <w:r>
              <w:rPr>
                <w:bCs/>
              </w:rPr>
              <w:t xml:space="preserve"> (FORTES): PRIMEIRA ESCOLHA</w:t>
            </w:r>
          </w:p>
          <w:p w14:paraId="05C625B5" w14:textId="28E24551" w:rsidR="006D1A4A" w:rsidRPr="006D1A4A" w:rsidRDefault="006D1A4A" w:rsidP="00F700E1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“</w:t>
            </w:r>
            <w:r w:rsidRPr="006D1A4A">
              <w:rPr>
                <w:bCs/>
              </w:rPr>
              <w:t>USO COM CAUTELA, DUPLA CHECAGEM E MONITORIZAÇÃO DA PACIENTE (</w:t>
            </w:r>
            <w:proofErr w:type="spellStart"/>
            <w:r w:rsidRPr="006D1A4A">
              <w:rPr>
                <w:bCs/>
              </w:rPr>
              <w:t>oxímetro</w:t>
            </w:r>
            <w:proofErr w:type="spellEnd"/>
            <w:r w:rsidRPr="006D1A4A">
              <w:rPr>
                <w:bCs/>
              </w:rPr>
              <w:t xml:space="preserve"> de pulso) POR NO MÍNIMO 1 HORA</w:t>
            </w:r>
            <w:r>
              <w:rPr>
                <w:bCs/>
              </w:rPr>
              <w:t>”</w:t>
            </w:r>
          </w:p>
          <w:p w14:paraId="4E5BE1C3" w14:textId="005B44FF" w:rsidR="006D1A4A" w:rsidRDefault="006D1A4A" w:rsidP="00F700E1">
            <w:pPr>
              <w:pStyle w:val="PargrafodaLista"/>
              <w:numPr>
                <w:ilvl w:val="1"/>
                <w:numId w:val="35"/>
              </w:numPr>
              <w:spacing w:after="0" w:line="240" w:lineRule="auto"/>
              <w:jc w:val="both"/>
              <w:rPr>
                <w:bCs/>
              </w:rPr>
            </w:pPr>
            <w:r w:rsidRPr="00F700E1">
              <w:rPr>
                <w:b/>
                <w:bCs/>
              </w:rPr>
              <w:t>Morfina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Dimorf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ampolas com 0,2 mg/ml ou ampola 2 mg/2 ml</w:t>
            </w:r>
            <w:r w:rsidR="00F700E1">
              <w:rPr>
                <w:bCs/>
              </w:rPr>
              <w:t>): dose</w:t>
            </w:r>
            <w:r>
              <w:rPr>
                <w:bCs/>
              </w:rPr>
              <w:t xml:space="preserve"> 0,</w:t>
            </w:r>
            <w:r w:rsidRPr="00A206D6">
              <w:rPr>
                <w:bCs/>
              </w:rPr>
              <w:t xml:space="preserve">05 a 0,1 mg/Kg </w:t>
            </w:r>
            <w:r>
              <w:rPr>
                <w:bCs/>
              </w:rPr>
              <w:t>IM ou EV</w:t>
            </w:r>
            <w:r w:rsidR="00F700E1">
              <w:rPr>
                <w:bCs/>
              </w:rPr>
              <w:t>;</w:t>
            </w:r>
          </w:p>
          <w:p w14:paraId="31FEB4DF" w14:textId="7AC710F8" w:rsidR="006D1A4A" w:rsidRPr="009327BD" w:rsidRDefault="006D1A4A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Petidina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Dolosal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  <w:vertAlign w:val="superscript"/>
              </w:rPr>
              <w:t xml:space="preserve"> </w:t>
            </w:r>
            <w:proofErr w:type="spellStart"/>
            <w:r>
              <w:rPr>
                <w:bCs/>
              </w:rPr>
              <w:t>amp</w:t>
            </w:r>
            <w:proofErr w:type="spellEnd"/>
            <w:r w:rsidR="00F700E1">
              <w:rPr>
                <w:bCs/>
              </w:rPr>
              <w:t xml:space="preserve"> 100 mg/2 ml): 50 a </w:t>
            </w:r>
            <w:r>
              <w:rPr>
                <w:bCs/>
              </w:rPr>
              <w:t>100 mg EV ou IM</w:t>
            </w:r>
            <w:r w:rsidR="00F700E1">
              <w:rPr>
                <w:bCs/>
              </w:rPr>
              <w:t>;</w:t>
            </w:r>
          </w:p>
        </w:tc>
      </w:tr>
      <w:tr w:rsidR="00A206D6" w14:paraId="1AF48E12" w14:textId="77777777" w:rsidTr="0013777A">
        <w:trPr>
          <w:trHeight w:val="627"/>
        </w:trPr>
        <w:tc>
          <w:tcPr>
            <w:tcW w:w="2165" w:type="dxa"/>
            <w:vMerge/>
            <w:shd w:val="clear" w:color="auto" w:fill="FFFFFF" w:themeFill="background1"/>
          </w:tcPr>
          <w:p w14:paraId="6DC049B9" w14:textId="77777777" w:rsidR="00A206D6" w:rsidRDefault="00A206D6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553EE6C2" w14:textId="77777777" w:rsidR="00F700E1" w:rsidRDefault="00F700E1" w:rsidP="00F700E1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proofErr w:type="spellStart"/>
            <w:r w:rsidR="006D1A4A" w:rsidRPr="00F700E1">
              <w:rPr>
                <w:rFonts w:cs="Calibri"/>
                <w:b/>
              </w:rPr>
              <w:t>Opióides</w:t>
            </w:r>
            <w:proofErr w:type="spellEnd"/>
            <w:r w:rsidR="006D1A4A" w:rsidRPr="00F700E1">
              <w:rPr>
                <w:rFonts w:cs="Calibri"/>
                <w:b/>
              </w:rPr>
              <w:t xml:space="preserve"> fracos</w:t>
            </w:r>
            <w:r w:rsidR="006D1A4A" w:rsidRPr="00F700E1">
              <w:rPr>
                <w:rFonts w:cs="Calibri"/>
              </w:rPr>
              <w:t>: Podem até ser tentados, se ainda não recebeu nenhu</w:t>
            </w:r>
            <w:r>
              <w:rPr>
                <w:rFonts w:cs="Calibri"/>
              </w:rPr>
              <w:t xml:space="preserve">m, mas preferir </w:t>
            </w:r>
            <w:proofErr w:type="spellStart"/>
            <w:r>
              <w:rPr>
                <w:rFonts w:cs="Calibri"/>
              </w:rPr>
              <w:t>opióides</w:t>
            </w:r>
            <w:proofErr w:type="spellEnd"/>
            <w:r>
              <w:rPr>
                <w:rFonts w:cs="Calibri"/>
              </w:rPr>
              <w:t xml:space="preserve"> fortes:</w:t>
            </w:r>
          </w:p>
          <w:p w14:paraId="62337258" w14:textId="77777777" w:rsidR="003D517F" w:rsidRDefault="003D517F" w:rsidP="003D517F">
            <w:pPr>
              <w:pStyle w:val="PargrafodaLista"/>
              <w:numPr>
                <w:ilvl w:val="1"/>
                <w:numId w:val="38"/>
              </w:numPr>
              <w:spacing w:after="160" w:line="240" w:lineRule="auto"/>
              <w:jc w:val="both"/>
              <w:rPr>
                <w:bCs/>
              </w:rPr>
            </w:pPr>
            <w:proofErr w:type="spellStart"/>
            <w:r w:rsidRPr="00F700E1">
              <w:rPr>
                <w:b/>
                <w:bCs/>
              </w:rPr>
              <w:t>Tramadol</w:t>
            </w:r>
            <w:proofErr w:type="spellEnd"/>
            <w:r w:rsidRPr="003D2EE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Tramal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ampolas de 1 ou 2 ml na concentração de 50 mg/ml ou </w:t>
            </w:r>
            <w:proofErr w:type="spellStart"/>
            <w:r>
              <w:rPr>
                <w:bCs/>
              </w:rPr>
              <w:t>comp</w:t>
            </w:r>
            <w:proofErr w:type="spellEnd"/>
            <w:r>
              <w:rPr>
                <w:bCs/>
              </w:rPr>
              <w:t xml:space="preserve"> 50 mg):  </w:t>
            </w:r>
            <w:r w:rsidRPr="003D2EE5">
              <w:rPr>
                <w:bCs/>
              </w:rPr>
              <w:t>50 a 100</w:t>
            </w:r>
            <w:r>
              <w:rPr>
                <w:bCs/>
              </w:rPr>
              <w:t xml:space="preserve"> </w:t>
            </w:r>
            <w:r w:rsidRPr="003D2EE5">
              <w:rPr>
                <w:bCs/>
              </w:rPr>
              <w:t xml:space="preserve">mg venoso ou </w:t>
            </w:r>
            <w:r>
              <w:rPr>
                <w:bCs/>
              </w:rPr>
              <w:t>oral até de 6/6 horas;</w:t>
            </w:r>
          </w:p>
          <w:p w14:paraId="6AB681F8" w14:textId="77777777" w:rsidR="003D517F" w:rsidRDefault="003D517F" w:rsidP="003D517F">
            <w:pPr>
              <w:pStyle w:val="PargrafodaLista"/>
              <w:numPr>
                <w:ilvl w:val="1"/>
                <w:numId w:val="38"/>
              </w:numPr>
              <w:spacing w:after="160" w:line="240" w:lineRule="auto"/>
              <w:jc w:val="both"/>
              <w:rPr>
                <w:bCs/>
              </w:rPr>
            </w:pPr>
            <w:proofErr w:type="spellStart"/>
            <w:r w:rsidRPr="00F700E1">
              <w:rPr>
                <w:b/>
                <w:bCs/>
              </w:rPr>
              <w:t>Tramadol</w:t>
            </w:r>
            <w:proofErr w:type="spellEnd"/>
            <w:r w:rsidRPr="00F700E1">
              <w:rPr>
                <w:b/>
                <w:bCs/>
              </w:rPr>
              <w:t xml:space="preserve"> + Paracetamol</w:t>
            </w:r>
            <w:r>
              <w:rPr>
                <w:bCs/>
              </w:rPr>
              <w:t xml:space="preserve"> (</w:t>
            </w:r>
            <w:proofErr w:type="spellStart"/>
            <w:proofErr w:type="gramStart"/>
            <w:r>
              <w:rPr>
                <w:bCs/>
              </w:rPr>
              <w:t>Ultracet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 37</w:t>
            </w:r>
            <w:proofErr w:type="gramEnd"/>
            <w:r>
              <w:rPr>
                <w:bCs/>
              </w:rPr>
              <w:t xml:space="preserve">,5 + 325 mg): 1 a 2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até de 6/6 horas;</w:t>
            </w:r>
          </w:p>
          <w:p w14:paraId="76A4E56D" w14:textId="77777777" w:rsidR="003D517F" w:rsidRDefault="003D517F" w:rsidP="003D517F">
            <w:pPr>
              <w:pStyle w:val="PargrafodaLista"/>
              <w:numPr>
                <w:ilvl w:val="1"/>
                <w:numId w:val="38"/>
              </w:numPr>
              <w:spacing w:after="160" w:line="240" w:lineRule="auto"/>
              <w:jc w:val="both"/>
              <w:rPr>
                <w:bCs/>
              </w:rPr>
            </w:pPr>
            <w:r w:rsidRPr="00F700E1">
              <w:rPr>
                <w:b/>
                <w:bCs/>
              </w:rPr>
              <w:t>Codeína + Paracetamol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Tylex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30 mg + 500 mg):  1 a 2 comp.  </w:t>
            </w:r>
            <w:proofErr w:type="gramStart"/>
            <w:r>
              <w:rPr>
                <w:bCs/>
              </w:rPr>
              <w:t>oral</w:t>
            </w:r>
            <w:proofErr w:type="gramEnd"/>
            <w:r>
              <w:rPr>
                <w:bCs/>
              </w:rPr>
              <w:t xml:space="preserve"> até de 6/6 horas;</w:t>
            </w:r>
          </w:p>
          <w:p w14:paraId="2F027ABD" w14:textId="77777777" w:rsidR="003D517F" w:rsidRPr="000F6120" w:rsidRDefault="003D517F" w:rsidP="003D517F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/>
                <w:bCs/>
              </w:rPr>
              <w:t>Metadona</w:t>
            </w:r>
            <w:proofErr w:type="spellEnd"/>
            <w:r w:rsidRPr="000F6120">
              <w:rPr>
                <w:bCs/>
              </w:rPr>
              <w:t xml:space="preserve"> </w:t>
            </w:r>
          </w:p>
          <w:p w14:paraId="03E5760A" w14:textId="77777777" w:rsidR="003D517F" w:rsidRPr="000F6120" w:rsidRDefault="003D517F" w:rsidP="003D517F">
            <w:pPr>
              <w:pStyle w:val="PargrafodaLista"/>
              <w:numPr>
                <w:ilvl w:val="2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Cs/>
              </w:rPr>
              <w:t>Mytedon</w:t>
            </w:r>
            <w:r w:rsidRPr="000F6120">
              <w:rPr>
                <w:bCs/>
                <w:vertAlign w:val="superscript"/>
              </w:rPr>
              <w:t>R</w:t>
            </w:r>
            <w:proofErr w:type="spellEnd"/>
            <w:r w:rsidRPr="000F6120">
              <w:rPr>
                <w:bCs/>
              </w:rPr>
              <w:t xml:space="preserve"> </w:t>
            </w:r>
            <w:proofErr w:type="spellStart"/>
            <w:r w:rsidRPr="000F6120">
              <w:rPr>
                <w:bCs/>
              </w:rPr>
              <w:t>cp</w:t>
            </w:r>
            <w:proofErr w:type="spellEnd"/>
            <w:r w:rsidRPr="000F6120">
              <w:rPr>
                <w:bCs/>
              </w:rPr>
              <w:t xml:space="preserve"> 5 mg: 1 </w:t>
            </w:r>
            <w:proofErr w:type="spellStart"/>
            <w:r w:rsidRPr="000F6120">
              <w:rPr>
                <w:bCs/>
              </w:rPr>
              <w:t>cp</w:t>
            </w:r>
            <w:proofErr w:type="spellEnd"/>
            <w:r w:rsidRPr="000F6120">
              <w:rPr>
                <w:bCs/>
              </w:rPr>
              <w:t xml:space="preserve"> VO até de 6/6 horas;</w:t>
            </w:r>
          </w:p>
          <w:p w14:paraId="04D92F34" w14:textId="197DB613" w:rsidR="00A206D6" w:rsidRPr="003D517F" w:rsidRDefault="003D517F" w:rsidP="003D517F">
            <w:pPr>
              <w:pStyle w:val="PargrafodaLista"/>
              <w:numPr>
                <w:ilvl w:val="2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0F6120">
              <w:rPr>
                <w:bCs/>
              </w:rPr>
              <w:t>Mytedon</w:t>
            </w:r>
            <w:r w:rsidRPr="000F6120">
              <w:rPr>
                <w:bCs/>
                <w:vertAlign w:val="superscript"/>
              </w:rPr>
              <w:t>R</w:t>
            </w:r>
            <w:proofErr w:type="spellEnd"/>
            <w:r w:rsidRPr="000F6120">
              <w:rPr>
                <w:bCs/>
              </w:rPr>
              <w:t xml:space="preserve"> </w:t>
            </w:r>
            <w:proofErr w:type="spellStart"/>
            <w:r w:rsidRPr="000F6120">
              <w:rPr>
                <w:bCs/>
              </w:rPr>
              <w:t>amp</w:t>
            </w:r>
            <w:proofErr w:type="spellEnd"/>
            <w:r w:rsidRPr="000F6120">
              <w:rPr>
                <w:bCs/>
              </w:rPr>
              <w:t xml:space="preserve"> 10 mg/ml: 0,5 a 1 ampola SC, IM ou EV lento</w:t>
            </w:r>
            <w:r w:rsidR="000F6120">
              <w:rPr>
                <w:bCs/>
              </w:rPr>
              <w:t>;</w:t>
            </w:r>
          </w:p>
        </w:tc>
      </w:tr>
      <w:tr w:rsidR="006D1A4A" w14:paraId="116AE19E" w14:textId="77777777" w:rsidTr="00C832E6">
        <w:trPr>
          <w:trHeight w:val="3500"/>
        </w:trPr>
        <w:tc>
          <w:tcPr>
            <w:tcW w:w="2165" w:type="dxa"/>
            <w:vMerge/>
            <w:shd w:val="clear" w:color="auto" w:fill="FFFFFF" w:themeFill="background1"/>
          </w:tcPr>
          <w:p w14:paraId="3A41CFF3" w14:textId="77777777" w:rsidR="006D1A4A" w:rsidRDefault="006D1A4A" w:rsidP="00F700E1">
            <w:pPr>
              <w:spacing w:after="0" w:line="259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5DE66AF9" w14:textId="3E714B5E" w:rsidR="006D1A4A" w:rsidRPr="00F700E1" w:rsidRDefault="006D1A4A" w:rsidP="00F700E1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 w:rsidRPr="00F700E1">
              <w:rPr>
                <w:rFonts w:cs="Calibri"/>
                <w:b/>
              </w:rPr>
              <w:t>Anti-inflamatórios</w:t>
            </w:r>
            <w:r w:rsidRPr="00F700E1">
              <w:rPr>
                <w:rFonts w:cs="Calibri"/>
              </w:rPr>
              <w:t xml:space="preserve"> (AINES):</w:t>
            </w:r>
            <w:r w:rsidRPr="00F700E1">
              <w:rPr>
                <w:b/>
                <w:bCs/>
                <w:sz w:val="28"/>
                <w:szCs w:val="28"/>
              </w:rPr>
              <w:t xml:space="preserve"> </w:t>
            </w:r>
            <w:r w:rsidRPr="00F700E1">
              <w:rPr>
                <w:bCs/>
                <w:i/>
                <w:color w:val="000000" w:themeColor="text1"/>
              </w:rPr>
              <w:t>manter sempre em uso contínuo nestes casos</w:t>
            </w:r>
          </w:p>
          <w:p w14:paraId="6BA2CDA3" w14:textId="77777777" w:rsidR="006D1A4A" w:rsidRPr="000F6120" w:rsidRDefault="006D1A4A" w:rsidP="000F6120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  <w:r w:rsidRPr="000F6120">
              <w:rPr>
                <w:rFonts w:cs="Calibri"/>
                <w:u w:val="single"/>
              </w:rPr>
              <w:t>PADRONIZADOS:</w:t>
            </w:r>
          </w:p>
          <w:p w14:paraId="5FB7D7BB" w14:textId="10BB31B1" w:rsidR="006D1A4A" w:rsidRPr="00132062" w:rsidRDefault="006D1A4A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Cetoprofeno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Profenid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100 mg ou ampola 100 mg/2Ml para uso IM ou frasco 100 mg para diluir e usar EV):</w:t>
            </w:r>
            <w:r w:rsidR="00F700E1">
              <w:rPr>
                <w:bCs/>
              </w:rPr>
              <w:t xml:space="preserve"> </w:t>
            </w:r>
            <w:r>
              <w:rPr>
                <w:bCs/>
              </w:rPr>
              <w:t>100 mg de 12/12 h (via oral, IM ou IV)</w:t>
            </w:r>
            <w:r w:rsidR="00F700E1">
              <w:rPr>
                <w:bCs/>
              </w:rPr>
              <w:t>;</w:t>
            </w:r>
          </w:p>
          <w:p w14:paraId="2ADC01F8" w14:textId="2F6C2DEC" w:rsidR="006D1A4A" w:rsidRPr="00244D3C" w:rsidRDefault="006D1A4A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Celecoxib</w:t>
            </w:r>
            <w:proofErr w:type="spellEnd"/>
            <w:r w:rsidRPr="003D2EE5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Celebra</w:t>
            </w:r>
            <w:r>
              <w:rPr>
                <w:bCs/>
                <w:vertAlign w:val="superscript"/>
              </w:rPr>
              <w:t>R</w:t>
            </w:r>
            <w:proofErr w:type="spellEnd"/>
            <w:r w:rsidR="00F700E1">
              <w:rPr>
                <w:bCs/>
              </w:rPr>
              <w:t xml:space="preserve"> </w:t>
            </w:r>
            <w:proofErr w:type="spellStart"/>
            <w:r w:rsidR="00F700E1">
              <w:rPr>
                <w:bCs/>
              </w:rPr>
              <w:t>comp</w:t>
            </w:r>
            <w:proofErr w:type="spellEnd"/>
            <w:r w:rsidR="00F700E1">
              <w:rPr>
                <w:bCs/>
              </w:rPr>
              <w:t xml:space="preserve"> 200 mg):</w:t>
            </w:r>
            <w:r>
              <w:rPr>
                <w:bCs/>
              </w:rPr>
              <w:t xml:space="preserve"> 1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de</w:t>
            </w:r>
            <w:r w:rsidRPr="003D2EE5">
              <w:rPr>
                <w:bCs/>
              </w:rPr>
              <w:t xml:space="preserve"> 12/</w:t>
            </w:r>
            <w:r>
              <w:rPr>
                <w:bCs/>
              </w:rPr>
              <w:t>12 horas</w:t>
            </w:r>
            <w:r w:rsidR="00F700E1">
              <w:rPr>
                <w:bCs/>
              </w:rPr>
              <w:t>;</w:t>
            </w:r>
          </w:p>
          <w:p w14:paraId="5544432F" w14:textId="74968C9F" w:rsidR="006D1A4A" w:rsidRPr="00244D3C" w:rsidRDefault="006D1A4A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Diclofenaco</w:t>
            </w:r>
            <w:proofErr w:type="spellEnd"/>
            <w:r>
              <w:rPr>
                <w:bCs/>
              </w:rPr>
              <w:t xml:space="preserve"> </w:t>
            </w:r>
            <w:r w:rsidRPr="00F700E1">
              <w:rPr>
                <w:b/>
                <w:bCs/>
              </w:rPr>
              <w:t>sódico</w:t>
            </w:r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Voltaren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comp</w:t>
            </w:r>
            <w:proofErr w:type="spellEnd"/>
            <w:r>
              <w:rPr>
                <w:bCs/>
              </w:rPr>
              <w:t xml:space="preserve"> 50 mg e </w:t>
            </w:r>
            <w:proofErr w:type="spellStart"/>
            <w:r>
              <w:rPr>
                <w:bCs/>
              </w:rPr>
              <w:t>amp</w:t>
            </w:r>
            <w:proofErr w:type="spellEnd"/>
            <w:r>
              <w:rPr>
                <w:bCs/>
              </w:rPr>
              <w:t xml:space="preserve"> 75 mg/3 ml</w:t>
            </w:r>
            <w:r w:rsidR="00F700E1">
              <w:rPr>
                <w:bCs/>
              </w:rPr>
              <w:t>):</w:t>
            </w:r>
            <w:r>
              <w:rPr>
                <w:bCs/>
              </w:rPr>
              <w:t xml:space="preserve"> usar 50 a 100 mg VO ou IM de 12/12h</w:t>
            </w:r>
            <w:r w:rsidR="00F700E1">
              <w:rPr>
                <w:bCs/>
              </w:rPr>
              <w:t>;</w:t>
            </w:r>
          </w:p>
          <w:p w14:paraId="36D255D7" w14:textId="42D0B767" w:rsidR="006D1A4A" w:rsidRPr="00004121" w:rsidRDefault="006D1A4A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Parecoxib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Bextra</w:t>
            </w:r>
            <w:r>
              <w:rPr>
                <w:bCs/>
                <w:vertAlign w:val="superscript"/>
              </w:rPr>
              <w:t>R</w:t>
            </w:r>
            <w:proofErr w:type="spellEnd"/>
            <w:r>
              <w:rPr>
                <w:bCs/>
              </w:rPr>
              <w:t xml:space="preserve"> frasco ampola 40 mg): 1 f</w:t>
            </w:r>
            <w:r w:rsidR="00F700E1">
              <w:rPr>
                <w:bCs/>
              </w:rPr>
              <w:t xml:space="preserve">rasco EV de 24/24 </w:t>
            </w:r>
            <w:proofErr w:type="spellStart"/>
            <w:r w:rsidR="00F700E1">
              <w:rPr>
                <w:bCs/>
              </w:rPr>
              <w:t>hs</w:t>
            </w:r>
            <w:proofErr w:type="spellEnd"/>
            <w:r w:rsidR="00F700E1">
              <w:rPr>
                <w:bCs/>
              </w:rPr>
              <w:t xml:space="preserve"> ou 12/12 h;</w:t>
            </w:r>
          </w:p>
          <w:p w14:paraId="3E33E4EF" w14:textId="77777777" w:rsidR="006D1A4A" w:rsidRPr="00244D3C" w:rsidRDefault="006D1A4A" w:rsidP="000F6120">
            <w:pPr>
              <w:spacing w:after="0" w:line="240" w:lineRule="auto"/>
              <w:jc w:val="center"/>
              <w:rPr>
                <w:rFonts w:cs="Calibri"/>
                <w:u w:val="single"/>
              </w:rPr>
            </w:pPr>
            <w:r w:rsidRPr="00244D3C">
              <w:rPr>
                <w:rFonts w:cs="Calibri"/>
                <w:u w:val="single"/>
              </w:rPr>
              <w:t>NÃO PADRONIZADOS:</w:t>
            </w:r>
          </w:p>
          <w:p w14:paraId="09D37CE4" w14:textId="7661A9ED" w:rsidR="006D1A4A" w:rsidRPr="00F700E1" w:rsidRDefault="006D1A4A" w:rsidP="00F700E1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proofErr w:type="spellStart"/>
            <w:r w:rsidRPr="00F700E1">
              <w:rPr>
                <w:b/>
                <w:bCs/>
              </w:rPr>
              <w:t>Tenoxicam</w:t>
            </w:r>
            <w:proofErr w:type="spellEnd"/>
            <w:r w:rsidRPr="00F700E1">
              <w:rPr>
                <w:bCs/>
              </w:rPr>
              <w:t xml:space="preserve"> (</w:t>
            </w:r>
            <w:proofErr w:type="spellStart"/>
            <w:r w:rsidRPr="00F700E1">
              <w:rPr>
                <w:bCs/>
              </w:rPr>
              <w:t>Teflan</w:t>
            </w:r>
            <w:r w:rsidRPr="00F700E1">
              <w:rPr>
                <w:bCs/>
                <w:vertAlign w:val="superscript"/>
              </w:rPr>
              <w:t>R</w:t>
            </w:r>
            <w:proofErr w:type="spellEnd"/>
            <w:r w:rsidRPr="00F700E1">
              <w:rPr>
                <w:bCs/>
                <w:vertAlign w:val="superscript"/>
              </w:rPr>
              <w:t xml:space="preserve"> </w:t>
            </w:r>
            <w:proofErr w:type="spellStart"/>
            <w:r w:rsidRPr="00F700E1">
              <w:rPr>
                <w:bCs/>
              </w:rPr>
              <w:t>cp</w:t>
            </w:r>
            <w:proofErr w:type="spellEnd"/>
            <w:r w:rsidRPr="00F700E1">
              <w:rPr>
                <w:bCs/>
              </w:rPr>
              <w:t xml:space="preserve"> 20 mg): 1 </w:t>
            </w:r>
            <w:proofErr w:type="spellStart"/>
            <w:r w:rsidRPr="00F700E1">
              <w:rPr>
                <w:bCs/>
              </w:rPr>
              <w:t>cp</w:t>
            </w:r>
            <w:proofErr w:type="spellEnd"/>
            <w:r w:rsidRPr="00F700E1">
              <w:rPr>
                <w:bCs/>
              </w:rPr>
              <w:t xml:space="preserve"> VO de 12/1</w:t>
            </w:r>
            <w:r w:rsidR="00F700E1">
              <w:rPr>
                <w:bCs/>
              </w:rPr>
              <w:t>2 h;</w:t>
            </w:r>
          </w:p>
        </w:tc>
      </w:tr>
      <w:tr w:rsidR="006D1A4A" w14:paraId="1573BC4C" w14:textId="77777777" w:rsidTr="00C832E6">
        <w:trPr>
          <w:trHeight w:val="2118"/>
        </w:trPr>
        <w:tc>
          <w:tcPr>
            <w:tcW w:w="2165" w:type="dxa"/>
            <w:shd w:val="clear" w:color="auto" w:fill="FFFFFF" w:themeFill="background1"/>
          </w:tcPr>
          <w:p w14:paraId="2A0AC4E0" w14:textId="77777777" w:rsidR="00C832E6" w:rsidRDefault="00C832E6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30B8B6D3" w14:textId="77777777" w:rsidR="00C832E6" w:rsidRDefault="00C832E6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</w:p>
          <w:p w14:paraId="46DE7444" w14:textId="1DE336C4" w:rsidR="006D1A4A" w:rsidRDefault="006D1A4A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CONSIDERAR </w:t>
            </w:r>
          </w:p>
          <w:p w14:paraId="151DAD55" w14:textId="77777777" w:rsidR="006D1A4A" w:rsidRDefault="006D1A4A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SEMPRE</w:t>
            </w:r>
          </w:p>
          <w:p w14:paraId="55F63AE7" w14:textId="77777777" w:rsidR="006D1A4A" w:rsidRDefault="006D1A4A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USO ASSOCIADO DE</w:t>
            </w:r>
          </w:p>
          <w:p w14:paraId="5350BE41" w14:textId="509DEF68" w:rsidR="006D1A4A" w:rsidRDefault="006D1A4A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ADJUVANTES</w:t>
            </w:r>
          </w:p>
        </w:tc>
        <w:tc>
          <w:tcPr>
            <w:tcW w:w="6899" w:type="dxa"/>
            <w:shd w:val="clear" w:color="auto" w:fill="FFFFFF" w:themeFill="background1"/>
          </w:tcPr>
          <w:p w14:paraId="411E60A3" w14:textId="7485AFC6" w:rsidR="006D1A4A" w:rsidRPr="00C832E6" w:rsidRDefault="006D1A4A" w:rsidP="00C832E6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C832E6">
              <w:rPr>
                <w:b/>
                <w:bCs/>
              </w:rPr>
              <w:t>Dexametasona</w:t>
            </w:r>
            <w:proofErr w:type="spellEnd"/>
            <w:r w:rsidRPr="00C832E6">
              <w:rPr>
                <w:bCs/>
              </w:rPr>
              <w:t xml:space="preserve"> (</w:t>
            </w:r>
            <w:proofErr w:type="spellStart"/>
            <w:r w:rsidRPr="00C832E6">
              <w:rPr>
                <w:bCs/>
              </w:rPr>
              <w:t>Decadron</w:t>
            </w:r>
            <w:r w:rsidRPr="00C832E6">
              <w:rPr>
                <w:bCs/>
                <w:vertAlign w:val="superscript"/>
              </w:rPr>
              <w:t>R</w:t>
            </w:r>
            <w:proofErr w:type="spellEnd"/>
            <w:r w:rsidRPr="00C832E6">
              <w:rPr>
                <w:bCs/>
                <w:vertAlign w:val="superscript"/>
              </w:rPr>
              <w:t xml:space="preserve"> </w:t>
            </w:r>
            <w:r w:rsidRPr="00C832E6">
              <w:rPr>
                <w:bCs/>
              </w:rPr>
              <w:t>ampola 10 mg/2,5 ml): 2 ml (8 mg) para uso EV</w:t>
            </w:r>
            <w:r w:rsidR="00F700E1" w:rsidRPr="00C832E6">
              <w:rPr>
                <w:bCs/>
              </w:rPr>
              <w:t>;</w:t>
            </w:r>
          </w:p>
          <w:p w14:paraId="456E3763" w14:textId="77777777" w:rsidR="006D1A4A" w:rsidRDefault="006D1A4A" w:rsidP="00C832E6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F700E1">
              <w:rPr>
                <w:b/>
                <w:bCs/>
              </w:rPr>
              <w:t>Anticonvulsivantes</w:t>
            </w:r>
            <w:r>
              <w:rPr>
                <w:bCs/>
              </w:rPr>
              <w:t xml:space="preserve"> (NÃO PADRONIZADOS):</w:t>
            </w:r>
          </w:p>
          <w:p w14:paraId="304FB991" w14:textId="4615DA47" w:rsidR="006D1A4A" w:rsidRDefault="006D1A4A" w:rsidP="00C832E6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bCs/>
              </w:rPr>
            </w:pPr>
            <w:proofErr w:type="spellStart"/>
            <w:r w:rsidRPr="00F700E1">
              <w:rPr>
                <w:b/>
                <w:bCs/>
              </w:rPr>
              <w:t>Pregabalina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150 mg):</w:t>
            </w:r>
            <w:r w:rsidRPr="003D2EE5">
              <w:rPr>
                <w:bCs/>
              </w:rPr>
              <w:t xml:space="preserve"> </w:t>
            </w:r>
            <w:r>
              <w:rPr>
                <w:bCs/>
              </w:rPr>
              <w:t xml:space="preserve">1 a 2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até</w:t>
            </w:r>
            <w:r w:rsidRPr="003D2EE5">
              <w:rPr>
                <w:bCs/>
              </w:rPr>
              <w:t xml:space="preserve"> de 12/12 horas</w:t>
            </w:r>
            <w:r w:rsidR="00F700E1">
              <w:rPr>
                <w:bCs/>
              </w:rPr>
              <w:t>;</w:t>
            </w:r>
          </w:p>
          <w:p w14:paraId="7D8EB907" w14:textId="32E679A4" w:rsidR="006D1A4A" w:rsidRDefault="006D1A4A" w:rsidP="00C832E6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Pr="00F700E1">
              <w:rPr>
                <w:b/>
                <w:bCs/>
              </w:rPr>
              <w:t>Gabapentina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300 mg</w:t>
            </w:r>
            <w:proofErr w:type="gramStart"/>
            <w:r>
              <w:rPr>
                <w:bCs/>
              </w:rPr>
              <w:t>) :</w:t>
            </w:r>
            <w:proofErr w:type="gramEnd"/>
            <w:r>
              <w:rPr>
                <w:bCs/>
              </w:rPr>
              <w:t xml:space="preserve"> 2 </w:t>
            </w:r>
            <w:proofErr w:type="spellStart"/>
            <w:r>
              <w:rPr>
                <w:bCs/>
              </w:rPr>
              <w:t>cp</w:t>
            </w:r>
            <w:proofErr w:type="spellEnd"/>
            <w:r w:rsidRPr="003D2EE5">
              <w:rPr>
                <w:bCs/>
              </w:rPr>
              <w:t xml:space="preserve"> </w:t>
            </w:r>
            <w:r>
              <w:rPr>
                <w:bCs/>
              </w:rPr>
              <w:t>VO até de 12/12 horas</w:t>
            </w:r>
            <w:r w:rsidR="00F700E1">
              <w:rPr>
                <w:bCs/>
              </w:rPr>
              <w:t>;</w:t>
            </w:r>
          </w:p>
          <w:p w14:paraId="675D3B13" w14:textId="5A1F4C71" w:rsidR="006D1A4A" w:rsidRDefault="006D1A4A" w:rsidP="00C832E6">
            <w:pPr>
              <w:pStyle w:val="PargrafodaLista"/>
              <w:numPr>
                <w:ilvl w:val="1"/>
                <w:numId w:val="38"/>
              </w:num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 w:rsidRPr="00F700E1">
              <w:rPr>
                <w:b/>
                <w:bCs/>
              </w:rPr>
              <w:t>Carbamazepina</w:t>
            </w:r>
            <w:proofErr w:type="spellEnd"/>
            <w:r>
              <w:rPr>
                <w:bCs/>
              </w:rPr>
              <w:t xml:space="preserve"> (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200 mg): 2 a 3 </w:t>
            </w:r>
            <w:proofErr w:type="spellStart"/>
            <w:r>
              <w:rPr>
                <w:bCs/>
              </w:rPr>
              <w:t>cp</w:t>
            </w:r>
            <w:proofErr w:type="spellEnd"/>
            <w:r>
              <w:rPr>
                <w:bCs/>
              </w:rPr>
              <w:t xml:space="preserve"> VO até de 8/8 horas</w:t>
            </w:r>
            <w:r w:rsidR="00F700E1">
              <w:rPr>
                <w:bCs/>
              </w:rPr>
              <w:t>;</w:t>
            </w:r>
          </w:p>
          <w:p w14:paraId="5B9F9DC0" w14:textId="6CC73E33" w:rsidR="006D1A4A" w:rsidRDefault="006D1A4A" w:rsidP="00C832E6">
            <w:pPr>
              <w:pStyle w:val="PargrafodaLista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bCs/>
              </w:rPr>
              <w:t xml:space="preserve"> </w:t>
            </w:r>
            <w:r w:rsidRPr="006D1A4A">
              <w:rPr>
                <w:b/>
                <w:bCs/>
              </w:rPr>
              <w:t>Anestésicos locais:</w:t>
            </w:r>
            <w:r>
              <w:rPr>
                <w:bCs/>
              </w:rPr>
              <w:t xml:space="preserve"> ótima opç</w:t>
            </w:r>
            <w:r w:rsidR="008912AF">
              <w:rPr>
                <w:bCs/>
              </w:rPr>
              <w:t>ão e para ser feito</w:t>
            </w:r>
            <w:r w:rsidR="00F700E1">
              <w:rPr>
                <w:bCs/>
              </w:rPr>
              <w:t>.</w:t>
            </w:r>
            <w:r w:rsidR="008912AF">
              <w:rPr>
                <w:bCs/>
              </w:rPr>
              <w:t xml:space="preserve"> </w:t>
            </w:r>
            <w:r w:rsidR="00F700E1">
              <w:rPr>
                <w:bCs/>
              </w:rPr>
              <w:t>Contatar</w:t>
            </w:r>
            <w:r w:rsidR="008912AF">
              <w:rPr>
                <w:bCs/>
              </w:rPr>
              <w:t xml:space="preserve"> </w:t>
            </w:r>
            <w:r w:rsidR="008912AF" w:rsidRPr="008912AF">
              <w:rPr>
                <w:b/>
                <w:bCs/>
              </w:rPr>
              <w:t>EQUIPE DA DOR</w:t>
            </w:r>
            <w:r w:rsidR="00F700E1">
              <w:rPr>
                <w:b/>
                <w:bCs/>
              </w:rPr>
              <w:t xml:space="preserve"> </w:t>
            </w:r>
            <w:r w:rsidR="00F700E1">
              <w:rPr>
                <w:bCs/>
              </w:rPr>
              <w:t>(contatos ao final do protocolo);</w:t>
            </w:r>
          </w:p>
        </w:tc>
      </w:tr>
      <w:tr w:rsidR="00A206D6" w14:paraId="3008121F" w14:textId="77777777" w:rsidTr="00C832E6">
        <w:trPr>
          <w:trHeight w:val="113"/>
        </w:trPr>
        <w:tc>
          <w:tcPr>
            <w:tcW w:w="2165" w:type="dxa"/>
            <w:shd w:val="clear" w:color="auto" w:fill="FFFFFF" w:themeFill="background1"/>
          </w:tcPr>
          <w:p w14:paraId="34962A27" w14:textId="4EFA1964" w:rsidR="00A206D6" w:rsidRDefault="006D1A4A" w:rsidP="00C832E6">
            <w:pPr>
              <w:spacing w:after="0" w:line="240" w:lineRule="auto"/>
              <w:ind w:left="-120" w:right="-72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EM CASO DE MÁ REPOSTA, DEVE-SE CONSIDERAR OS OPIÓIDES MUITO POTENTES</w:t>
            </w:r>
          </w:p>
        </w:tc>
        <w:tc>
          <w:tcPr>
            <w:tcW w:w="6899" w:type="dxa"/>
            <w:shd w:val="clear" w:color="auto" w:fill="FFFFFF" w:themeFill="background1"/>
          </w:tcPr>
          <w:p w14:paraId="0F65CF63" w14:textId="21ECC5D4" w:rsidR="006D1A4A" w:rsidRPr="00C832E6" w:rsidRDefault="00A206D6" w:rsidP="00C832E6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C832E6">
              <w:rPr>
                <w:bCs/>
              </w:rPr>
              <w:t>Opióides</w:t>
            </w:r>
            <w:proofErr w:type="spellEnd"/>
            <w:r w:rsidRPr="00C832E6">
              <w:rPr>
                <w:bCs/>
              </w:rPr>
              <w:t xml:space="preserve"> muito potentes com risco de depressão respiratória: </w:t>
            </w:r>
            <w:r w:rsidR="008912AF" w:rsidRPr="00C832E6">
              <w:rPr>
                <w:bCs/>
              </w:rPr>
              <w:t xml:space="preserve"> PRESCRIÇÃO RESTRITA APÓS AVALIAÇÃO DA </w:t>
            </w:r>
            <w:r w:rsidR="008912AF" w:rsidRPr="00C832E6">
              <w:rPr>
                <w:b/>
                <w:bCs/>
              </w:rPr>
              <w:t>EQUIPE DA DOR</w:t>
            </w:r>
            <w:r w:rsidR="00C832E6">
              <w:rPr>
                <w:b/>
                <w:bCs/>
              </w:rPr>
              <w:t>:</w:t>
            </w:r>
          </w:p>
          <w:p w14:paraId="53D8C902" w14:textId="2161FD4F" w:rsidR="00A206D6" w:rsidRPr="006D1A4A" w:rsidRDefault="006D1A4A" w:rsidP="00C832E6">
            <w:pPr>
              <w:spacing w:after="0" w:line="240" w:lineRule="auto"/>
              <w:ind w:left="360"/>
              <w:jc w:val="both"/>
              <w:rPr>
                <w:bCs/>
              </w:rPr>
            </w:pPr>
            <w:r>
              <w:rPr>
                <w:bCs/>
              </w:rPr>
              <w:t>“</w:t>
            </w:r>
            <w:r w:rsidR="00A206D6" w:rsidRPr="006D1A4A">
              <w:rPr>
                <w:bCs/>
              </w:rPr>
              <w:t>USO RESTRITO APÓS AVALIAÇÃO DA EQUIPE DA DOR, DUPLA CHECAGEM E MONITORIZAÇÃO DA PACIENTE (</w:t>
            </w:r>
            <w:proofErr w:type="spellStart"/>
            <w:r w:rsidR="00A206D6" w:rsidRPr="006D1A4A">
              <w:rPr>
                <w:bCs/>
              </w:rPr>
              <w:t>oxímetro</w:t>
            </w:r>
            <w:proofErr w:type="spellEnd"/>
            <w:r w:rsidR="00A206D6" w:rsidRPr="006D1A4A">
              <w:rPr>
                <w:bCs/>
              </w:rPr>
              <w:t xml:space="preserve"> de pulso) POR NO MÍNIMO 1 HORA, COM GARANTIA DE VIA AÉREA</w:t>
            </w:r>
            <w:r>
              <w:rPr>
                <w:bCs/>
              </w:rPr>
              <w:t>”</w:t>
            </w:r>
          </w:p>
          <w:p w14:paraId="7FDBD85B" w14:textId="0E90C42A" w:rsidR="00A206D6" w:rsidRPr="00C832E6" w:rsidRDefault="00A206D6" w:rsidP="00C832E6">
            <w:pPr>
              <w:pStyle w:val="PargrafodaLista"/>
              <w:numPr>
                <w:ilvl w:val="0"/>
                <w:numId w:val="40"/>
              </w:numPr>
              <w:spacing w:after="0" w:line="240" w:lineRule="auto"/>
              <w:jc w:val="both"/>
              <w:rPr>
                <w:bCs/>
              </w:rPr>
            </w:pPr>
            <w:r w:rsidRPr="00C832E6">
              <w:rPr>
                <w:bCs/>
              </w:rPr>
              <w:t xml:space="preserve">OPIOIDES FORTES: </w:t>
            </w:r>
            <w:proofErr w:type="spellStart"/>
            <w:r w:rsidR="00004121" w:rsidRPr="00C832E6">
              <w:rPr>
                <w:bCs/>
              </w:rPr>
              <w:t>fentanil</w:t>
            </w:r>
            <w:proofErr w:type="spellEnd"/>
            <w:r w:rsidR="00004121" w:rsidRPr="00C832E6">
              <w:rPr>
                <w:bCs/>
              </w:rPr>
              <w:t xml:space="preserve"> (</w:t>
            </w:r>
            <w:proofErr w:type="spellStart"/>
            <w:r w:rsidR="00004121" w:rsidRPr="00C832E6">
              <w:rPr>
                <w:bCs/>
              </w:rPr>
              <w:t>Fentanest</w:t>
            </w:r>
            <w:r w:rsidR="00004121" w:rsidRPr="00C832E6">
              <w:rPr>
                <w:bCs/>
                <w:vertAlign w:val="superscript"/>
              </w:rPr>
              <w:t>R</w:t>
            </w:r>
            <w:proofErr w:type="spellEnd"/>
            <w:r w:rsidR="008340A8" w:rsidRPr="00C832E6">
              <w:rPr>
                <w:bCs/>
              </w:rPr>
              <w:t>):</w:t>
            </w:r>
            <w:r w:rsidRPr="00C832E6">
              <w:rPr>
                <w:bCs/>
              </w:rPr>
              <w:t xml:space="preserve"> 1 a 2 </w:t>
            </w:r>
            <w:proofErr w:type="spellStart"/>
            <w:r w:rsidRPr="00C832E6">
              <w:rPr>
                <w:bCs/>
              </w:rPr>
              <w:t>mcg</w:t>
            </w:r>
            <w:proofErr w:type="spellEnd"/>
            <w:r w:rsidRPr="00C832E6">
              <w:rPr>
                <w:bCs/>
              </w:rPr>
              <w:t xml:space="preserve">/Kg/dose </w:t>
            </w:r>
            <w:r w:rsidR="008912AF" w:rsidRPr="00C832E6">
              <w:rPr>
                <w:bCs/>
              </w:rPr>
              <w:t>EV</w:t>
            </w:r>
            <w:r w:rsidR="00C832E6">
              <w:rPr>
                <w:bCs/>
              </w:rPr>
              <w:t>;</w:t>
            </w:r>
            <w:r w:rsidR="008912AF" w:rsidRPr="00C832E6">
              <w:rPr>
                <w:bCs/>
              </w:rPr>
              <w:t xml:space="preserve"> </w:t>
            </w:r>
          </w:p>
        </w:tc>
      </w:tr>
      <w:tr w:rsidR="003D2EE5" w14:paraId="15E1B984" w14:textId="77777777" w:rsidTr="0013777A">
        <w:trPr>
          <w:trHeight w:val="281"/>
        </w:trPr>
        <w:tc>
          <w:tcPr>
            <w:tcW w:w="2165" w:type="dxa"/>
            <w:vMerge w:val="restart"/>
            <w:shd w:val="clear" w:color="auto" w:fill="FFFFFF" w:themeFill="background1"/>
          </w:tcPr>
          <w:p w14:paraId="5AF4F452" w14:textId="77777777" w:rsidR="00C832E6" w:rsidRDefault="00C832E6" w:rsidP="00C832E6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</w:p>
          <w:p w14:paraId="32FB1A83" w14:textId="5D77E0B9" w:rsidR="003D2EE5" w:rsidRDefault="003D2EE5" w:rsidP="00C832E6">
            <w:pPr>
              <w:spacing w:after="0" w:line="259" w:lineRule="auto"/>
              <w:ind w:left="-12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REAVALIAR APÓS 1</w:t>
            </w:r>
            <w:r w:rsidR="00A418A7">
              <w:rPr>
                <w:rFonts w:cs="Calibri"/>
                <w:b/>
                <w:bCs/>
              </w:rPr>
              <w:t>5 MINUTOS</w:t>
            </w:r>
          </w:p>
        </w:tc>
        <w:tc>
          <w:tcPr>
            <w:tcW w:w="6899" w:type="dxa"/>
            <w:shd w:val="clear" w:color="auto" w:fill="FFFFFF" w:themeFill="background1"/>
          </w:tcPr>
          <w:p w14:paraId="6634E27D" w14:textId="17FF2B41" w:rsidR="003D2EE5" w:rsidRPr="00C832E6" w:rsidRDefault="00A418A7" w:rsidP="00C832E6">
            <w:pPr>
              <w:spacing w:after="0" w:line="259" w:lineRule="auto"/>
              <w:jc w:val="both"/>
              <w:rPr>
                <w:rFonts w:cs="Calibri"/>
              </w:rPr>
            </w:pPr>
            <w:r w:rsidRPr="00C832E6">
              <w:rPr>
                <w:rFonts w:cs="Calibri"/>
              </w:rPr>
              <w:t>Se melhorou, reavaliar em 1 hora (considerar melhora a paciente que reduz a intensidade da dor para pelo menos moderada, consegue realizar higiene pessoal)</w:t>
            </w:r>
            <w:r w:rsidR="00C832E6">
              <w:rPr>
                <w:rFonts w:cs="Calibri"/>
              </w:rPr>
              <w:t>;</w:t>
            </w:r>
          </w:p>
        </w:tc>
      </w:tr>
      <w:tr w:rsidR="003D2EE5" w14:paraId="4A1693A1" w14:textId="77777777" w:rsidTr="0013777A">
        <w:trPr>
          <w:trHeight w:val="272"/>
        </w:trPr>
        <w:tc>
          <w:tcPr>
            <w:tcW w:w="2165" w:type="dxa"/>
            <w:vMerge/>
            <w:shd w:val="clear" w:color="auto" w:fill="FFFFFF" w:themeFill="background1"/>
          </w:tcPr>
          <w:p w14:paraId="0F96CA35" w14:textId="77777777" w:rsidR="003D2EE5" w:rsidRDefault="003D2EE5" w:rsidP="00A33E0B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6899" w:type="dxa"/>
            <w:shd w:val="clear" w:color="auto" w:fill="FFFFFF" w:themeFill="background1"/>
          </w:tcPr>
          <w:p w14:paraId="26D81126" w14:textId="6CF7E6CE" w:rsidR="003D2EE5" w:rsidRPr="00C832E6" w:rsidRDefault="003D2EE5" w:rsidP="00C832E6">
            <w:pPr>
              <w:spacing w:after="0" w:line="259" w:lineRule="auto"/>
              <w:jc w:val="both"/>
              <w:rPr>
                <w:rFonts w:cs="Calibri"/>
              </w:rPr>
            </w:pPr>
            <w:r w:rsidRPr="00C832E6">
              <w:rPr>
                <w:rFonts w:cs="Calibri"/>
              </w:rPr>
              <w:t xml:space="preserve">Se não melhorou, </w:t>
            </w:r>
            <w:r w:rsidR="00A418A7" w:rsidRPr="00C832E6">
              <w:rPr>
                <w:rFonts w:cs="Calibri"/>
              </w:rPr>
              <w:t xml:space="preserve">comunicar ao plantonista para avaliação </w:t>
            </w:r>
            <w:r w:rsidR="008912AF" w:rsidRPr="00C832E6">
              <w:rPr>
                <w:rFonts w:cs="Calibri"/>
              </w:rPr>
              <w:t xml:space="preserve">e acionamento da </w:t>
            </w:r>
            <w:r w:rsidR="008912AF" w:rsidRPr="00C832E6">
              <w:rPr>
                <w:rFonts w:cs="Calibri"/>
                <w:b/>
              </w:rPr>
              <w:t>EQUIPE DA DOR</w:t>
            </w:r>
            <w:r w:rsidR="00C832E6">
              <w:rPr>
                <w:rFonts w:cs="Calibri"/>
                <w:b/>
              </w:rPr>
              <w:t xml:space="preserve"> </w:t>
            </w:r>
            <w:r w:rsidR="00C832E6">
              <w:rPr>
                <w:rFonts w:cs="Calibri"/>
              </w:rPr>
              <w:t>(contatos ao final do protocolo).</w:t>
            </w:r>
          </w:p>
        </w:tc>
      </w:tr>
      <w:tr w:rsidR="009465F6" w:rsidRPr="00BA08EA" w14:paraId="33B251E0" w14:textId="77777777" w:rsidTr="0013777A">
        <w:tc>
          <w:tcPr>
            <w:tcW w:w="9064" w:type="dxa"/>
            <w:gridSpan w:val="2"/>
            <w:shd w:val="clear" w:color="auto" w:fill="E7E6E6" w:themeFill="background2"/>
          </w:tcPr>
          <w:p w14:paraId="4E97E17D" w14:textId="5CC0BF04" w:rsidR="009465F6" w:rsidRPr="00BA08EA" w:rsidRDefault="009465F6" w:rsidP="006E7835">
            <w:pPr>
              <w:spacing w:after="0" w:line="259" w:lineRule="auto"/>
              <w:ind w:left="3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QUANDO ACIONAR EQUIPE DA DOR </w:t>
            </w:r>
            <w:r w:rsidR="008912AF">
              <w:rPr>
                <w:rFonts w:cs="Calibri"/>
                <w:b/>
                <w:bCs/>
              </w:rPr>
              <w:t xml:space="preserve"> </w:t>
            </w:r>
          </w:p>
        </w:tc>
      </w:tr>
      <w:tr w:rsidR="006E7835" w:rsidRPr="00BA08EA" w14:paraId="082C84CE" w14:textId="35EEB1CC" w:rsidTr="00C832E6">
        <w:trPr>
          <w:trHeight w:val="179"/>
        </w:trPr>
        <w:tc>
          <w:tcPr>
            <w:tcW w:w="2165" w:type="dxa"/>
            <w:shd w:val="clear" w:color="auto" w:fill="auto"/>
          </w:tcPr>
          <w:p w14:paraId="2242EA40" w14:textId="77777777" w:rsidR="00C832E6" w:rsidRDefault="00C832E6" w:rsidP="006E7835">
            <w:pPr>
              <w:spacing w:after="0" w:line="259" w:lineRule="auto"/>
              <w:jc w:val="center"/>
              <w:rPr>
                <w:rFonts w:cs="Calibri"/>
                <w:b/>
                <w:bCs/>
              </w:rPr>
            </w:pPr>
          </w:p>
          <w:p w14:paraId="58F08DB7" w14:textId="77777777" w:rsidR="00C832E6" w:rsidRDefault="00C832E6" w:rsidP="006E7835">
            <w:pPr>
              <w:spacing w:after="0" w:line="259" w:lineRule="auto"/>
              <w:jc w:val="center"/>
              <w:rPr>
                <w:rFonts w:cs="Calibri"/>
                <w:b/>
                <w:bCs/>
              </w:rPr>
            </w:pPr>
          </w:p>
          <w:p w14:paraId="25E0FA22" w14:textId="77777777" w:rsidR="00C832E6" w:rsidRDefault="00C832E6" w:rsidP="006E7835">
            <w:pPr>
              <w:spacing w:after="0" w:line="259" w:lineRule="auto"/>
              <w:jc w:val="center"/>
              <w:rPr>
                <w:rFonts w:cs="Calibri"/>
                <w:b/>
                <w:bCs/>
              </w:rPr>
            </w:pPr>
          </w:p>
          <w:p w14:paraId="567CAE03" w14:textId="18D68A19" w:rsidR="006E7835" w:rsidRPr="00C832E6" w:rsidRDefault="00C832E6" w:rsidP="006E7835">
            <w:pPr>
              <w:spacing w:after="0" w:line="259" w:lineRule="auto"/>
              <w:jc w:val="center"/>
              <w:rPr>
                <w:rFonts w:cs="Calibri"/>
                <w:bCs/>
              </w:rPr>
            </w:pPr>
            <w:r w:rsidRPr="00C832E6">
              <w:rPr>
                <w:rFonts w:cs="Calibri"/>
                <w:bCs/>
              </w:rPr>
              <w:lastRenderedPageBreak/>
              <w:t>Médico</w:t>
            </w:r>
          </w:p>
        </w:tc>
        <w:tc>
          <w:tcPr>
            <w:tcW w:w="6899" w:type="dxa"/>
            <w:shd w:val="clear" w:color="auto" w:fill="auto"/>
          </w:tcPr>
          <w:p w14:paraId="6C2B2119" w14:textId="0F6FE9F9" w:rsidR="006E7835" w:rsidRPr="00C832E6" w:rsidRDefault="00C832E6" w:rsidP="00C832E6">
            <w:pPr>
              <w:spacing w:after="0" w:line="259" w:lineRule="auto"/>
              <w:rPr>
                <w:rFonts w:cs="Calibri"/>
                <w:bCs/>
              </w:rPr>
            </w:pPr>
            <w:r w:rsidRPr="00C832E6">
              <w:rPr>
                <w:rFonts w:cs="Calibri"/>
                <w:bCs/>
              </w:rPr>
              <w:lastRenderedPageBreak/>
              <w:t>Quando i</w:t>
            </w:r>
            <w:r w:rsidR="006E7835" w:rsidRPr="00C832E6">
              <w:rPr>
                <w:rFonts w:cs="Calibri"/>
                <w:bCs/>
              </w:rPr>
              <w:t>dentifica</w:t>
            </w:r>
            <w:r w:rsidRPr="00C832E6">
              <w:rPr>
                <w:rFonts w:cs="Calibri"/>
                <w:bCs/>
              </w:rPr>
              <w:t>r</w:t>
            </w:r>
            <w:r w:rsidR="006E7835" w:rsidRPr="00C832E6">
              <w:rPr>
                <w:rFonts w:cs="Calibri"/>
                <w:bCs/>
              </w:rPr>
              <w:t xml:space="preserve"> pacientes com dor de difícil controle:</w:t>
            </w:r>
          </w:p>
          <w:p w14:paraId="68E3BBFE" w14:textId="6899FC66" w:rsidR="006E7835" w:rsidRDefault="006E7835" w:rsidP="006E7835">
            <w:pPr>
              <w:pStyle w:val="PargrafodaLista"/>
              <w:numPr>
                <w:ilvl w:val="1"/>
                <w:numId w:val="37"/>
              </w:numPr>
              <w:spacing w:after="0" w:line="259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Pacientes sem melhora após 30 minutos do uso da morfina</w:t>
            </w:r>
            <w:r w:rsidR="00C832E6">
              <w:rPr>
                <w:rFonts w:cs="Calibri"/>
                <w:bCs/>
              </w:rPr>
              <w:t>;</w:t>
            </w:r>
          </w:p>
          <w:p w14:paraId="03AFF1D8" w14:textId="6DA1BE6D" w:rsidR="006E7835" w:rsidRDefault="006E7835" w:rsidP="006E7835">
            <w:pPr>
              <w:pStyle w:val="PargrafodaLista"/>
              <w:numPr>
                <w:ilvl w:val="1"/>
                <w:numId w:val="37"/>
              </w:numPr>
              <w:spacing w:after="0" w:line="259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Necessidade de uso de </w:t>
            </w:r>
            <w:proofErr w:type="spellStart"/>
            <w:r>
              <w:rPr>
                <w:rFonts w:cs="Calibri"/>
                <w:bCs/>
              </w:rPr>
              <w:t>tramadol</w:t>
            </w:r>
            <w:proofErr w:type="spellEnd"/>
            <w:r>
              <w:rPr>
                <w:rFonts w:cs="Calibri"/>
                <w:bCs/>
              </w:rPr>
              <w:t xml:space="preserve"> mais de três vezes ao dia</w:t>
            </w:r>
            <w:r w:rsidR="00C832E6">
              <w:rPr>
                <w:rFonts w:cs="Calibri"/>
                <w:bCs/>
              </w:rPr>
              <w:t>;</w:t>
            </w:r>
          </w:p>
          <w:p w14:paraId="0FDD9488" w14:textId="07823394" w:rsidR="006E7835" w:rsidRDefault="006E7835" w:rsidP="006E7835">
            <w:pPr>
              <w:pStyle w:val="PargrafodaLista"/>
              <w:numPr>
                <w:ilvl w:val="1"/>
                <w:numId w:val="37"/>
              </w:numPr>
              <w:spacing w:after="0" w:line="259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lastRenderedPageBreak/>
              <w:t xml:space="preserve">Necessidade de uso de </w:t>
            </w:r>
            <w:proofErr w:type="spellStart"/>
            <w:r>
              <w:rPr>
                <w:rFonts w:cs="Calibri"/>
                <w:bCs/>
              </w:rPr>
              <w:t>fentanil</w:t>
            </w:r>
            <w:proofErr w:type="spellEnd"/>
            <w:r w:rsidR="00C832E6">
              <w:rPr>
                <w:rFonts w:cs="Calibri"/>
                <w:bCs/>
              </w:rPr>
              <w:t>;</w:t>
            </w:r>
          </w:p>
          <w:p w14:paraId="4297ED90" w14:textId="6EEBFF29" w:rsidR="006E7835" w:rsidRDefault="006E7835" w:rsidP="006E7835">
            <w:pPr>
              <w:pStyle w:val="PargrafodaLista"/>
              <w:numPr>
                <w:ilvl w:val="1"/>
                <w:numId w:val="37"/>
              </w:numPr>
              <w:spacing w:after="0" w:line="259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Necessidade de infiltração local para alívio da dor</w:t>
            </w:r>
            <w:r w:rsidR="00C832E6">
              <w:rPr>
                <w:rFonts w:cs="Calibri"/>
                <w:bCs/>
              </w:rPr>
              <w:t>;</w:t>
            </w:r>
          </w:p>
          <w:p w14:paraId="519F99E6" w14:textId="77777777" w:rsidR="006E7835" w:rsidRDefault="00C832E6" w:rsidP="00C832E6">
            <w:pPr>
              <w:pStyle w:val="PargrafodaLista"/>
              <w:numPr>
                <w:ilvl w:val="1"/>
                <w:numId w:val="37"/>
              </w:numPr>
              <w:spacing w:after="0"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Dúvidas quant</w:t>
            </w:r>
            <w:r w:rsidR="006E7835">
              <w:rPr>
                <w:rFonts w:cs="Calibri"/>
                <w:bCs/>
              </w:rPr>
              <w:t>o a uso de adjuvantes do tipo anticonvulsivantes</w:t>
            </w:r>
            <w:r>
              <w:rPr>
                <w:rFonts w:cs="Calibri"/>
                <w:bCs/>
              </w:rPr>
              <w:t>;</w:t>
            </w:r>
          </w:p>
          <w:p w14:paraId="2127AD30" w14:textId="706A1964" w:rsidR="00C832E6" w:rsidRPr="00C832E6" w:rsidRDefault="00C832E6" w:rsidP="00C832E6">
            <w:pPr>
              <w:pStyle w:val="PargrafodaLista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ATENÇÃO: Neste caso, sempre p</w:t>
            </w:r>
            <w:r w:rsidRPr="00C832E6">
              <w:rPr>
                <w:rFonts w:cs="Calibri"/>
                <w:bCs/>
              </w:rPr>
              <w:t>reenche</w:t>
            </w:r>
            <w:r>
              <w:rPr>
                <w:rFonts w:cs="Calibri"/>
                <w:bCs/>
              </w:rPr>
              <w:t>r</w:t>
            </w:r>
            <w:r w:rsidRPr="00C832E6">
              <w:rPr>
                <w:rFonts w:cs="Calibri"/>
                <w:bCs/>
              </w:rPr>
              <w:t xml:space="preserve"> a solicitação de avaliação de especialista</w:t>
            </w:r>
            <w:r>
              <w:rPr>
                <w:rFonts w:cs="Calibri"/>
                <w:bCs/>
              </w:rPr>
              <w:t xml:space="preserve"> (</w:t>
            </w:r>
            <w:r w:rsidRPr="00C832E6">
              <w:rPr>
                <w:rFonts w:cs="Calibri"/>
                <w:bCs/>
              </w:rPr>
              <w:t>FORM.DT.003 - AVALIAÇÃO DE ESPECIALISTA</w:t>
            </w:r>
            <w:r>
              <w:rPr>
                <w:rFonts w:cs="Calibri"/>
                <w:bCs/>
              </w:rPr>
              <w:t>);</w:t>
            </w:r>
          </w:p>
        </w:tc>
      </w:tr>
      <w:tr w:rsidR="00C832E6" w:rsidRPr="00BA08EA" w14:paraId="5586D6E1" w14:textId="77777777" w:rsidTr="00C832E6">
        <w:trPr>
          <w:trHeight w:val="179"/>
        </w:trPr>
        <w:tc>
          <w:tcPr>
            <w:tcW w:w="2165" w:type="dxa"/>
            <w:shd w:val="clear" w:color="auto" w:fill="auto"/>
          </w:tcPr>
          <w:p w14:paraId="0BFEC47D" w14:textId="77777777" w:rsidR="00C832E6" w:rsidRDefault="00C832E6" w:rsidP="00C832E6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624ECFF6" w14:textId="77777777" w:rsidR="00C832E6" w:rsidRDefault="00C832E6" w:rsidP="00C832E6">
            <w:pPr>
              <w:spacing w:after="0" w:line="259" w:lineRule="auto"/>
              <w:jc w:val="center"/>
              <w:rPr>
                <w:rFonts w:cs="Calibri"/>
                <w:bCs/>
              </w:rPr>
            </w:pPr>
          </w:p>
          <w:p w14:paraId="1597A20B" w14:textId="6F09B417" w:rsidR="00C832E6" w:rsidRPr="00C832E6" w:rsidRDefault="00C832E6" w:rsidP="00C832E6">
            <w:pPr>
              <w:spacing w:after="0" w:line="259" w:lineRule="auto"/>
              <w:jc w:val="center"/>
              <w:rPr>
                <w:rFonts w:cs="Calibri"/>
                <w:bCs/>
              </w:rPr>
            </w:pPr>
            <w:r w:rsidRPr="00C832E6">
              <w:rPr>
                <w:rFonts w:cs="Calibri"/>
                <w:bCs/>
              </w:rPr>
              <w:t>Enfermeira</w:t>
            </w:r>
          </w:p>
        </w:tc>
        <w:tc>
          <w:tcPr>
            <w:tcW w:w="6899" w:type="dxa"/>
            <w:shd w:val="clear" w:color="auto" w:fill="auto"/>
          </w:tcPr>
          <w:p w14:paraId="75A8566B" w14:textId="31CF3160" w:rsidR="00C832E6" w:rsidRPr="00C832E6" w:rsidRDefault="00C832E6" w:rsidP="00C832E6">
            <w:pPr>
              <w:spacing w:after="0" w:line="259" w:lineRule="auto"/>
              <w:jc w:val="both"/>
              <w:rPr>
                <w:rFonts w:cs="Calibri"/>
                <w:bCs/>
              </w:rPr>
            </w:pPr>
            <w:r w:rsidRPr="00C832E6">
              <w:rPr>
                <w:rFonts w:cs="Calibri"/>
                <w:bCs/>
              </w:rPr>
              <w:t>Aciona</w:t>
            </w:r>
            <w:r>
              <w:rPr>
                <w:rFonts w:cs="Calibri"/>
                <w:bCs/>
              </w:rPr>
              <w:t>r</w:t>
            </w:r>
            <w:r w:rsidRPr="00C832E6">
              <w:rPr>
                <w:rFonts w:cs="Calibri"/>
                <w:bCs/>
              </w:rPr>
              <w:t xml:space="preserve"> equipe da dor conforme </w:t>
            </w:r>
            <w:r>
              <w:rPr>
                <w:rFonts w:cs="Calibri"/>
                <w:bCs/>
              </w:rPr>
              <w:t>POP</w:t>
            </w:r>
            <w:r w:rsidRPr="00C832E6">
              <w:rPr>
                <w:rFonts w:cs="Calibri"/>
                <w:bCs/>
              </w:rPr>
              <w:t xml:space="preserve"> de chamado de especialistas</w:t>
            </w:r>
            <w:r>
              <w:rPr>
                <w:rFonts w:cs="Calibri"/>
                <w:bCs/>
              </w:rPr>
              <w:t xml:space="preserve"> (POP.DIR.001</w:t>
            </w:r>
            <w:r w:rsidRPr="00C832E6">
              <w:rPr>
                <w:rFonts w:cs="Calibri"/>
                <w:bCs/>
              </w:rPr>
              <w:t xml:space="preserve"> - PAGAMENTO DE AVALIAÇÃO DE ESPECIALISTA</w:t>
            </w:r>
            <w:r>
              <w:rPr>
                <w:rFonts w:cs="Calibri"/>
                <w:bCs/>
              </w:rPr>
              <w:t>);</w:t>
            </w:r>
          </w:p>
          <w:p w14:paraId="10F69F4D" w14:textId="77777777" w:rsidR="00C832E6" w:rsidRPr="00C832E6" w:rsidRDefault="00C832E6" w:rsidP="00C832E6">
            <w:pPr>
              <w:pStyle w:val="PargrafodaLista"/>
              <w:numPr>
                <w:ilvl w:val="0"/>
                <w:numId w:val="39"/>
              </w:numPr>
              <w:spacing w:after="0" w:line="259" w:lineRule="auto"/>
              <w:rPr>
                <w:rFonts w:cs="Calibri"/>
                <w:b/>
                <w:bCs/>
                <w:u w:val="single"/>
              </w:rPr>
            </w:pPr>
            <w:r w:rsidRPr="00C832E6">
              <w:rPr>
                <w:rFonts w:cs="Calibri"/>
                <w:b/>
                <w:bCs/>
                <w:u w:val="single"/>
              </w:rPr>
              <w:t>TELEFONES DE CONTATO DA EQUIPE DA DOR:</w:t>
            </w:r>
          </w:p>
          <w:p w14:paraId="3AF65204" w14:textId="77777777" w:rsidR="00C832E6" w:rsidRDefault="00C832E6" w:rsidP="00C832E6">
            <w:pPr>
              <w:pStyle w:val="PargrafodaLista"/>
              <w:numPr>
                <w:ilvl w:val="1"/>
                <w:numId w:val="39"/>
              </w:numPr>
              <w:spacing w:after="0" w:line="259" w:lineRule="auto"/>
              <w:jc w:val="both"/>
              <w:rPr>
                <w:bCs/>
              </w:rPr>
            </w:pPr>
            <w:r>
              <w:rPr>
                <w:bCs/>
              </w:rPr>
              <w:t>Dr. Eduardo Barbosa (</w:t>
            </w:r>
            <w:proofErr w:type="spellStart"/>
            <w:r>
              <w:rPr>
                <w:bCs/>
              </w:rPr>
              <w:t>Tel</w:t>
            </w:r>
            <w:proofErr w:type="spellEnd"/>
            <w:r>
              <w:rPr>
                <w:bCs/>
              </w:rPr>
              <w:t>: (79) 9.9152-6672);</w:t>
            </w:r>
          </w:p>
          <w:p w14:paraId="753035A4" w14:textId="1437ACDB" w:rsidR="00C832E6" w:rsidRDefault="00C832E6" w:rsidP="00C832E6">
            <w:pPr>
              <w:pStyle w:val="PargrafodaLista"/>
              <w:numPr>
                <w:ilvl w:val="1"/>
                <w:numId w:val="39"/>
              </w:numPr>
              <w:spacing w:after="0" w:line="259" w:lineRule="auto"/>
              <w:jc w:val="both"/>
              <w:rPr>
                <w:rFonts w:cs="Calibri"/>
                <w:bCs/>
              </w:rPr>
            </w:pPr>
            <w:r>
              <w:rPr>
                <w:bCs/>
                <w:color w:val="000000" w:themeColor="text1"/>
              </w:rPr>
              <w:t>Dr. Fabrí</w:t>
            </w:r>
            <w:r w:rsidRPr="00F6660A">
              <w:rPr>
                <w:bCs/>
                <w:color w:val="000000" w:themeColor="text1"/>
              </w:rPr>
              <w:t>cio Dias Antunes (</w:t>
            </w:r>
            <w:proofErr w:type="spellStart"/>
            <w:r w:rsidRPr="00F6660A">
              <w:rPr>
                <w:bCs/>
                <w:color w:val="000000" w:themeColor="text1"/>
              </w:rPr>
              <w:t>Tel</w:t>
            </w:r>
            <w:proofErr w:type="spellEnd"/>
            <w:r>
              <w:rPr>
                <w:bCs/>
                <w:color w:val="000000" w:themeColor="text1"/>
              </w:rPr>
              <w:t>:</w:t>
            </w:r>
            <w:r w:rsidRPr="00F6660A">
              <w:rPr>
                <w:bCs/>
                <w:color w:val="000000" w:themeColor="text1"/>
              </w:rPr>
              <w:t xml:space="preserve"> </w:t>
            </w:r>
            <w:r>
              <w:rPr>
                <w:bCs/>
                <w:color w:val="000000" w:themeColor="text1"/>
              </w:rPr>
              <w:t>(</w:t>
            </w:r>
            <w:r w:rsidRPr="00F6660A">
              <w:rPr>
                <w:bCs/>
                <w:color w:val="000000" w:themeColor="text1"/>
              </w:rPr>
              <w:t>79</w:t>
            </w:r>
            <w:r>
              <w:rPr>
                <w:bCs/>
                <w:color w:val="000000" w:themeColor="text1"/>
              </w:rPr>
              <w:t>)</w:t>
            </w:r>
            <w:r w:rsidRPr="00F6660A">
              <w:rPr>
                <w:bCs/>
                <w:color w:val="000000" w:themeColor="text1"/>
              </w:rPr>
              <w:t xml:space="preserve"> 9</w:t>
            </w:r>
            <w:r>
              <w:rPr>
                <w:bCs/>
                <w:color w:val="000000" w:themeColor="text1"/>
              </w:rPr>
              <w:t>.</w:t>
            </w:r>
            <w:r w:rsidRPr="00F6660A">
              <w:rPr>
                <w:bCs/>
                <w:color w:val="000000" w:themeColor="text1"/>
              </w:rPr>
              <w:t>9124</w:t>
            </w:r>
            <w:r>
              <w:rPr>
                <w:bCs/>
                <w:color w:val="000000" w:themeColor="text1"/>
              </w:rPr>
              <w:t>-</w:t>
            </w:r>
            <w:r w:rsidRPr="00F6660A">
              <w:rPr>
                <w:bCs/>
                <w:color w:val="000000" w:themeColor="text1"/>
              </w:rPr>
              <w:t>6830)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36F6451B" w14:textId="1F28B0BA" w:rsidR="000E6FF9" w:rsidRPr="00727C21" w:rsidRDefault="000E6FF9" w:rsidP="000E6FF9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14:paraId="20C5EA10" w14:textId="77777777" w:rsidR="000E6FF9" w:rsidRPr="00727C21" w:rsidRDefault="000E6FF9" w:rsidP="000E6FF9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14:paraId="7D884E66" w14:textId="72DFDDE3" w:rsidR="00006651" w:rsidRPr="00A95B69" w:rsidRDefault="0056749D" w:rsidP="00C832E6">
      <w:pPr>
        <w:pStyle w:val="PargrafodaLista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eastAsia="Times New Roman" w:cs="Calibri"/>
          <w:sz w:val="18"/>
          <w:szCs w:val="18"/>
          <w:lang w:val="en-US" w:eastAsia="pt-BR"/>
        </w:rPr>
        <w:t>Kintu</w:t>
      </w:r>
      <w:proofErr w:type="spellEnd"/>
      <w:r>
        <w:rPr>
          <w:rFonts w:eastAsia="Times New Roman" w:cs="Calibri"/>
          <w:sz w:val="18"/>
          <w:szCs w:val="18"/>
          <w:lang w:val="en-US" w:eastAsia="pt-BR"/>
        </w:rPr>
        <w:t xml:space="preserve"> A. et al. Postoperative pain after cesarean section: assessment and management in a tertiary hospital in a low-income country. BMC Health Services Research 2019 (19):68</w:t>
      </w:r>
    </w:p>
    <w:p w14:paraId="11503F83" w14:textId="3FE96279" w:rsidR="00A95B69" w:rsidRPr="007C4991" w:rsidRDefault="00A95B69" w:rsidP="0056749D">
      <w:pPr>
        <w:pStyle w:val="PargrafodaLista"/>
        <w:numPr>
          <w:ilvl w:val="0"/>
          <w:numId w:val="23"/>
        </w:numPr>
        <w:shd w:val="clear" w:color="auto" w:fill="FFFFFF"/>
        <w:spacing w:before="100" w:beforeAutospacing="1"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Times New Roman" w:cs="Calibri"/>
          <w:sz w:val="18"/>
          <w:szCs w:val="18"/>
          <w:lang w:val="en-US" w:eastAsia="pt-BR"/>
        </w:rPr>
        <w:t xml:space="preserve">Chou R. </w:t>
      </w:r>
      <w:proofErr w:type="gramStart"/>
      <w:r>
        <w:rPr>
          <w:rFonts w:eastAsia="Times New Roman" w:cs="Calibri"/>
          <w:sz w:val="18"/>
          <w:szCs w:val="18"/>
          <w:lang w:val="en-US" w:eastAsia="pt-BR"/>
        </w:rPr>
        <w:t>et al.</w:t>
      </w:r>
      <w:proofErr w:type="gramEnd"/>
      <w:r>
        <w:rPr>
          <w:rFonts w:eastAsia="Times New Roman" w:cs="Calibri"/>
          <w:sz w:val="18"/>
          <w:szCs w:val="18"/>
          <w:lang w:val="en-US" w:eastAsia="pt-BR"/>
        </w:rPr>
        <w:t xml:space="preserve"> Guidelines on the management of postoperative pain</w:t>
      </w:r>
      <w:r w:rsidR="00263AE6">
        <w:rPr>
          <w:rFonts w:eastAsia="Times New Roman" w:cs="Calibri"/>
          <w:sz w:val="18"/>
          <w:szCs w:val="18"/>
          <w:lang w:val="en-US" w:eastAsia="pt-BR"/>
        </w:rPr>
        <w:t>. American Pain Society. The Journal of Pain, 17(2), 2016:131-157</w:t>
      </w:r>
    </w:p>
    <w:p w14:paraId="1E1802A8" w14:textId="530C2641" w:rsidR="00DF3E6D" w:rsidRDefault="00DF3E6D" w:rsidP="00C13777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</w:p>
    <w:p w14:paraId="1424690D" w14:textId="55C75B8F" w:rsidR="00DF3E6D" w:rsidRDefault="00DF3E6D" w:rsidP="00DF3E6D"/>
    <w:p w14:paraId="1CBA9752" w14:textId="77777777" w:rsidR="00DF3E6D" w:rsidRDefault="00DF3E6D" w:rsidP="00DF3E6D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DF3E6D" w:rsidRPr="003A52FB" w14:paraId="3894CD07" w14:textId="77777777" w:rsidTr="00A30F7A">
        <w:trPr>
          <w:trHeight w:val="136"/>
        </w:trPr>
        <w:tc>
          <w:tcPr>
            <w:tcW w:w="2268" w:type="dxa"/>
            <w:shd w:val="clear" w:color="auto" w:fill="D9D9D9"/>
          </w:tcPr>
          <w:p w14:paraId="3D4BE261" w14:textId="77777777" w:rsidR="00DF3E6D" w:rsidRPr="002F1CC4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233888EB" w14:textId="77777777" w:rsidR="00DF3E6D" w:rsidRPr="002F1CC4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4AE96581" w14:textId="77777777" w:rsidR="00DF3E6D" w:rsidRPr="002F1CC4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76E7E04C" w14:textId="77777777" w:rsidR="00DF3E6D" w:rsidRPr="002F1CC4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DF3E6D" w:rsidRPr="003A52FB" w14:paraId="30DD2276" w14:textId="77777777" w:rsidTr="00A30F7A">
        <w:trPr>
          <w:trHeight w:val="958"/>
        </w:trPr>
        <w:tc>
          <w:tcPr>
            <w:tcW w:w="2268" w:type="dxa"/>
            <w:vAlign w:val="center"/>
          </w:tcPr>
          <w:p w14:paraId="3F8A647A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3B3D7B7B" w14:textId="37451672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FABRÍCIO ANTUNES</w:t>
            </w:r>
          </w:p>
          <w:p w14:paraId="40B6EB62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 Técnico</w:t>
            </w:r>
          </w:p>
          <w:p w14:paraId="4470F64D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3CA5D0CC" w14:textId="77777777" w:rsidR="00DF3E6D" w:rsidRPr="00E2531D" w:rsidRDefault="00DF3E6D" w:rsidP="00A30F7A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48005F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25430352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MARCOS PAVIONE</w:t>
            </w:r>
          </w:p>
          <w:p w14:paraId="16E32D38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 Técnico</w:t>
            </w:r>
          </w:p>
          <w:p w14:paraId="244A7B50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86967DB" w14:textId="77777777" w:rsidR="00DF3E6D" w:rsidRPr="00B71FC2" w:rsidRDefault="00DF3E6D" w:rsidP="00A30F7A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EC21473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56975C17" w14:textId="00A1F31C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MARCOS PAVIONE</w:t>
            </w:r>
          </w:p>
          <w:p w14:paraId="07B4AFCE" w14:textId="7FBECC89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Diretor Técnico</w:t>
            </w:r>
          </w:p>
          <w:p w14:paraId="39C93652" w14:textId="794DC6C1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7735C260" w14:textId="77777777" w:rsidR="00DF3E6D" w:rsidRPr="00B71FC2" w:rsidRDefault="00DF3E6D" w:rsidP="00A30F7A">
            <w:pPr>
              <w:pStyle w:val="Rodap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6ECDDD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</w:p>
          <w:p w14:paraId="09DC9432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VIVIANE O. DE SOUSA CORREIA</w:t>
            </w:r>
          </w:p>
          <w:p w14:paraId="6E2DEDC5" w14:textId="77777777" w:rsidR="00DF3E6D" w:rsidRDefault="00DF3E6D" w:rsidP="00A30F7A">
            <w:pPr>
              <w:pStyle w:val="Rodap"/>
              <w:spacing w:line="276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Enfermeira da Qualidade e CCIH</w:t>
            </w:r>
          </w:p>
          <w:p w14:paraId="730793D4" w14:textId="77777777" w:rsidR="00DF3E6D" w:rsidRDefault="00DF3E6D" w:rsidP="00A30F7A">
            <w:pPr>
              <w:pStyle w:val="Rodap"/>
              <w:spacing w:line="276" w:lineRule="auto"/>
              <w:ind w:left="102" w:hanging="102"/>
              <w:jc w:val="center"/>
              <w:rPr>
                <w:rFonts w:cs="Arial"/>
                <w:sz w:val="16"/>
                <w:szCs w:val="16"/>
              </w:rPr>
            </w:pPr>
          </w:p>
          <w:p w14:paraId="04BF1033" w14:textId="77777777" w:rsidR="00DF3E6D" w:rsidRPr="00B71FC2" w:rsidRDefault="00DF3E6D" w:rsidP="00A30F7A">
            <w:pPr>
              <w:pStyle w:val="Rodap"/>
              <w:spacing w:line="276" w:lineRule="auto"/>
              <w:ind w:left="102" w:hanging="102"/>
              <w:jc w:val="center"/>
              <w:rPr>
                <w:sz w:val="20"/>
                <w:szCs w:val="20"/>
              </w:rPr>
            </w:pPr>
          </w:p>
        </w:tc>
      </w:tr>
      <w:tr w:rsidR="00DF3E6D" w:rsidRPr="003A52FB" w14:paraId="079F2299" w14:textId="77777777" w:rsidTr="00A30F7A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2E7FC99B" w14:textId="4A5F3713" w:rsidR="00DF3E6D" w:rsidRPr="002F1CC4" w:rsidRDefault="00DF3E6D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08/09/2020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76616BF" w14:textId="77777777" w:rsidR="00DF3E6D" w:rsidRPr="002F1CC4" w:rsidRDefault="00DF3E6D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22/11/2023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839C9E" w14:textId="77777777" w:rsidR="00DF3E6D" w:rsidRPr="002F1CC4" w:rsidRDefault="00DF3E6D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28/11/2023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1C1D5C" w14:textId="77777777" w:rsidR="00DF3E6D" w:rsidRPr="002F1CC4" w:rsidRDefault="00DF3E6D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30/11/2023</w:t>
            </w:r>
          </w:p>
        </w:tc>
      </w:tr>
      <w:tr w:rsidR="00DF3E6D" w:rsidRPr="003A52FB" w14:paraId="18FD6896" w14:textId="77777777" w:rsidTr="00A30F7A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7DC9CE46" w14:textId="77777777" w:rsidR="00DF3E6D" w:rsidRDefault="00DF3E6D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18768698" w14:textId="77777777" w:rsidR="00915ADC" w:rsidRDefault="00915ADC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</w:p>
          <w:p w14:paraId="7EFF08B1" w14:textId="263DC87D" w:rsidR="00915ADC" w:rsidRPr="002F1CC4" w:rsidRDefault="00915ADC" w:rsidP="00A30F7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</w:t>
            </w:r>
            <w:r w:rsidR="00DE6AE2">
              <w:rPr>
                <w:b/>
                <w:sz w:val="18"/>
                <w:szCs w:val="18"/>
              </w:rPr>
              <w:t xml:space="preserve">          </w:t>
            </w:r>
            <w:bookmarkStart w:id="1" w:name="_GoBack"/>
            <w:bookmarkEnd w:id="1"/>
            <w:r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66721415" wp14:editId="215F255D">
                  <wp:extent cx="2005329" cy="653262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981" cy="691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05DA06A0" wp14:editId="3CD624E5">
                  <wp:extent cx="1441094" cy="755577"/>
                  <wp:effectExtent l="0" t="0" r="6985" b="698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iviane Oliveira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774" cy="771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206C0" w14:textId="77777777" w:rsidR="00DF3E6D" w:rsidRDefault="00DF3E6D" w:rsidP="00DF3E6D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7EE9DFCB" w14:textId="77777777" w:rsidR="00DF3E6D" w:rsidRPr="007250FD" w:rsidRDefault="00DF3E6D" w:rsidP="00DF3E6D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DF3E6D" w:rsidRPr="00AB0CB4" w14:paraId="2E42A067" w14:textId="77777777" w:rsidTr="00A30F7A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6D3B6C19" w14:textId="77777777" w:rsidR="00DF3E6D" w:rsidRPr="007250FD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1BAEF6F1" w14:textId="77777777" w:rsidR="00DF3E6D" w:rsidRPr="007250FD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224438C5" w14:textId="77777777" w:rsidR="00DF3E6D" w:rsidRPr="007250FD" w:rsidRDefault="00DF3E6D" w:rsidP="00A30F7A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DF3E6D" w:rsidRPr="00AB0CB4" w14:paraId="2AB49C53" w14:textId="77777777" w:rsidTr="00A30F7A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4D106A28" w14:textId="77777777" w:rsidR="00DF3E6D" w:rsidRPr="008505FB" w:rsidRDefault="00DF3E6D" w:rsidP="00A30F7A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09C5591A" w14:textId="77777777" w:rsidR="00DF3E6D" w:rsidRPr="00065B5C" w:rsidRDefault="00DF3E6D" w:rsidP="00A30F7A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Atualização do </w:t>
            </w:r>
            <w:r>
              <w:t>layout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2F7E261" w14:textId="77777777" w:rsidR="00DF3E6D" w:rsidRPr="00065B5C" w:rsidRDefault="00DF3E6D" w:rsidP="00A30F7A">
            <w:pPr>
              <w:rPr>
                <w:rFonts w:cstheme="minorHAnsi"/>
              </w:rPr>
            </w:pPr>
            <w:r>
              <w:rPr>
                <w:rFonts w:cstheme="minorHAnsi"/>
              </w:rPr>
              <w:t>22/11/2023</w:t>
            </w:r>
          </w:p>
        </w:tc>
      </w:tr>
      <w:tr w:rsidR="00DF3E6D" w:rsidRPr="00AB0CB4" w14:paraId="748608B6" w14:textId="77777777" w:rsidTr="00A30F7A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DDDE402" w14:textId="77777777" w:rsidR="00DF3E6D" w:rsidRPr="008505FB" w:rsidRDefault="00DF3E6D" w:rsidP="00A30F7A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748101FB" w14:textId="77777777" w:rsidR="00DF3E6D" w:rsidRPr="00065B5C" w:rsidRDefault="00DF3E6D" w:rsidP="00A30F7A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435F1B2" w14:textId="77777777" w:rsidR="00DF3E6D" w:rsidRPr="00065B5C" w:rsidRDefault="00DF3E6D" w:rsidP="00A30F7A">
            <w:pPr>
              <w:rPr>
                <w:rFonts w:cstheme="minorHAnsi"/>
                <w:szCs w:val="20"/>
              </w:rPr>
            </w:pPr>
          </w:p>
        </w:tc>
      </w:tr>
    </w:tbl>
    <w:p w14:paraId="5C1065D9" w14:textId="77777777" w:rsidR="00C13777" w:rsidRPr="00DF3E6D" w:rsidRDefault="00C13777" w:rsidP="00DF3E6D"/>
    <w:sectPr w:rsidR="00C13777" w:rsidRPr="00DF3E6D" w:rsidSect="00D22C6B">
      <w:headerReference w:type="defaul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FD004" w14:textId="77777777" w:rsidR="00DA2F09" w:rsidRDefault="00DA2F09" w:rsidP="00090248">
      <w:pPr>
        <w:spacing w:after="0" w:line="240" w:lineRule="auto"/>
      </w:pPr>
      <w:r>
        <w:separator/>
      </w:r>
    </w:p>
  </w:endnote>
  <w:endnote w:type="continuationSeparator" w:id="0">
    <w:p w14:paraId="36B23DD4" w14:textId="77777777" w:rsidR="00DA2F09" w:rsidRDefault="00DA2F09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FB94" w14:textId="77777777" w:rsidR="00DA2F09" w:rsidRDefault="00DA2F09" w:rsidP="00090248">
      <w:pPr>
        <w:spacing w:after="0" w:line="240" w:lineRule="auto"/>
      </w:pPr>
      <w:r>
        <w:separator/>
      </w:r>
    </w:p>
  </w:footnote>
  <w:footnote w:type="continuationSeparator" w:id="0">
    <w:p w14:paraId="0793DFC9" w14:textId="77777777" w:rsidR="00DA2F09" w:rsidRDefault="00DA2F09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DF3E6D" w:rsidRPr="003A52FB" w14:paraId="5DFA9CAB" w14:textId="77777777" w:rsidTr="00A30F7A">
      <w:trPr>
        <w:trHeight w:val="165"/>
      </w:trPr>
      <w:tc>
        <w:tcPr>
          <w:tcW w:w="1213" w:type="dxa"/>
          <w:vMerge w:val="restart"/>
        </w:tcPr>
        <w:p w14:paraId="057763D2" w14:textId="77777777" w:rsidR="00DF3E6D" w:rsidRPr="003A52FB" w:rsidRDefault="00DF3E6D" w:rsidP="00DF3E6D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17A53F6" wp14:editId="0CF3D0A6">
                <wp:simplePos x="0" y="0"/>
                <wp:positionH relativeFrom="margin">
                  <wp:posOffset>-32385</wp:posOffset>
                </wp:positionH>
                <wp:positionV relativeFrom="page">
                  <wp:posOffset>60325</wp:posOffset>
                </wp:positionV>
                <wp:extent cx="730885" cy="73088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885" cy="730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3D1D12" w14:textId="77777777" w:rsidR="00DF3E6D" w:rsidRPr="003A52FB" w:rsidRDefault="00DF3E6D" w:rsidP="00DF3E6D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539114B4" w14:textId="77777777" w:rsidR="00DF3E6D" w:rsidRPr="0001281D" w:rsidRDefault="00DF3E6D" w:rsidP="00DF3E6D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7FD41D12" w14:textId="77777777" w:rsidR="00DF3E6D" w:rsidRPr="003E6EEA" w:rsidRDefault="00DF3E6D" w:rsidP="00DF3E6D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076C3A06" w14:textId="77777777" w:rsidR="00DF3E6D" w:rsidRPr="003E6EEA" w:rsidRDefault="00DF3E6D" w:rsidP="00DF3E6D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DF3E6D" w:rsidRPr="003A52FB" w14:paraId="270E6424" w14:textId="77777777" w:rsidTr="00A30F7A">
      <w:trPr>
        <w:trHeight w:val="304"/>
      </w:trPr>
      <w:tc>
        <w:tcPr>
          <w:tcW w:w="1213" w:type="dxa"/>
          <w:vMerge/>
        </w:tcPr>
        <w:p w14:paraId="72593791" w14:textId="77777777" w:rsidR="00DF3E6D" w:rsidRPr="003A52FB" w:rsidRDefault="00DF3E6D" w:rsidP="00DF3E6D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63B5A1A5" w14:textId="77777777" w:rsidR="00DF3E6D" w:rsidRPr="003A52FB" w:rsidRDefault="00DF3E6D" w:rsidP="00DF3E6D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4A072D67" w14:textId="7D9AFB18" w:rsidR="00DF3E6D" w:rsidRPr="00C01416" w:rsidRDefault="00DF3E6D" w:rsidP="00DF3E6D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>
            <w:rPr>
              <w:rFonts w:cs="Arial"/>
              <w:sz w:val="20"/>
              <w:szCs w:val="20"/>
            </w:rPr>
            <w:t>ROT.DT.004</w:t>
          </w:r>
        </w:p>
      </w:tc>
      <w:tc>
        <w:tcPr>
          <w:tcW w:w="1087" w:type="dxa"/>
        </w:tcPr>
        <w:p w14:paraId="1065A8EE" w14:textId="5CD8EB7B" w:rsidR="00DF3E6D" w:rsidRPr="003E6EEA" w:rsidRDefault="00DF3E6D" w:rsidP="00DF3E6D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DE6AE2">
            <w:rPr>
              <w:bCs/>
              <w:noProof/>
              <w:color w:val="000000" w:themeColor="text1"/>
            </w:rPr>
            <w:t>5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DE6AE2">
            <w:rPr>
              <w:bCs/>
              <w:noProof/>
              <w:color w:val="000000" w:themeColor="text1"/>
            </w:rPr>
            <w:t>5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DF3E6D" w:rsidRPr="003A52FB" w14:paraId="765CB853" w14:textId="77777777" w:rsidTr="00A30F7A">
      <w:trPr>
        <w:trHeight w:val="207"/>
      </w:trPr>
      <w:tc>
        <w:tcPr>
          <w:tcW w:w="1213" w:type="dxa"/>
          <w:vMerge/>
        </w:tcPr>
        <w:p w14:paraId="6E247CF6" w14:textId="77777777" w:rsidR="00DF3E6D" w:rsidRPr="003A52FB" w:rsidRDefault="00DF3E6D" w:rsidP="00DF3E6D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08DAD8F0" w14:textId="5C55DDD8" w:rsidR="00DF3E6D" w:rsidRPr="003A6E7E" w:rsidRDefault="00DF3E6D" w:rsidP="00DF3E6D">
          <w:pPr>
            <w:pStyle w:val="Cabealho"/>
            <w:jc w:val="center"/>
            <w:rPr>
              <w:rFonts w:asciiTheme="minorHAnsi" w:hAnsiTheme="minorHAnsi" w:cstheme="minorHAnsi"/>
            </w:rPr>
          </w:pPr>
          <w:r w:rsidRPr="00DF3E6D">
            <w:rPr>
              <w:rFonts w:asciiTheme="minorHAnsi" w:hAnsiTheme="minorHAnsi" w:cstheme="minorHAnsi"/>
            </w:rPr>
            <w:t>MANEJO DA DOR AGUDA NO ADULTO</w:t>
          </w:r>
        </w:p>
      </w:tc>
      <w:tc>
        <w:tcPr>
          <w:tcW w:w="1889" w:type="dxa"/>
          <w:shd w:val="clear" w:color="auto" w:fill="D9D9D9"/>
        </w:tcPr>
        <w:p w14:paraId="4EC1347F" w14:textId="77777777" w:rsidR="00DF3E6D" w:rsidRPr="000227EE" w:rsidRDefault="00DF3E6D" w:rsidP="00DF3E6D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6507C6A6" w14:textId="77777777" w:rsidR="00DF3E6D" w:rsidRPr="000227EE" w:rsidRDefault="00DF3E6D" w:rsidP="00DF3E6D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DF3E6D" w:rsidRPr="003A52FB" w14:paraId="47A5DF75" w14:textId="77777777" w:rsidTr="00A30F7A">
      <w:trPr>
        <w:trHeight w:val="395"/>
      </w:trPr>
      <w:tc>
        <w:tcPr>
          <w:tcW w:w="1213" w:type="dxa"/>
          <w:vMerge/>
        </w:tcPr>
        <w:p w14:paraId="5E18492D" w14:textId="77777777" w:rsidR="00DF3E6D" w:rsidRPr="003A52FB" w:rsidRDefault="00DF3E6D" w:rsidP="00DF3E6D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64BC3B75" w14:textId="77777777" w:rsidR="00DF3E6D" w:rsidRPr="003A52FB" w:rsidRDefault="00DF3E6D" w:rsidP="00DF3E6D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2441D7DD" w14:textId="77777777" w:rsidR="00DF3E6D" w:rsidRPr="00C01416" w:rsidRDefault="00DF3E6D" w:rsidP="00DF3E6D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Direção Técnica</w:t>
          </w:r>
        </w:p>
      </w:tc>
      <w:tc>
        <w:tcPr>
          <w:tcW w:w="1087" w:type="dxa"/>
          <w:vAlign w:val="center"/>
        </w:tcPr>
        <w:p w14:paraId="0D030365" w14:textId="77777777" w:rsidR="00DF3E6D" w:rsidRPr="00B3202E" w:rsidRDefault="00DF3E6D" w:rsidP="00DF3E6D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1</w:t>
          </w:r>
        </w:p>
      </w:tc>
    </w:tr>
  </w:tbl>
  <w:p w14:paraId="3B225BF8" w14:textId="77777777" w:rsidR="009327BD" w:rsidRPr="00DF3E6D" w:rsidRDefault="009327BD" w:rsidP="00DF3E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224C46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3D0"/>
    <w:multiLevelType w:val="hybridMultilevel"/>
    <w:tmpl w:val="52A8615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3655"/>
    <w:multiLevelType w:val="hybridMultilevel"/>
    <w:tmpl w:val="D3421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C3C"/>
    <w:multiLevelType w:val="hybridMultilevel"/>
    <w:tmpl w:val="F26CC22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5C0AB8"/>
    <w:multiLevelType w:val="hybridMultilevel"/>
    <w:tmpl w:val="749AA45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03364D"/>
    <w:multiLevelType w:val="hybridMultilevel"/>
    <w:tmpl w:val="A78E727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6EA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5407E"/>
    <w:multiLevelType w:val="hybridMultilevel"/>
    <w:tmpl w:val="06123C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223F"/>
    <w:multiLevelType w:val="hybridMultilevel"/>
    <w:tmpl w:val="E446EC1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8117A"/>
    <w:multiLevelType w:val="hybridMultilevel"/>
    <w:tmpl w:val="B6B6D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625F9"/>
    <w:multiLevelType w:val="hybridMultilevel"/>
    <w:tmpl w:val="BCC437F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23CDC"/>
    <w:multiLevelType w:val="hybridMultilevel"/>
    <w:tmpl w:val="653A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37A49"/>
    <w:multiLevelType w:val="hybridMultilevel"/>
    <w:tmpl w:val="5164D228"/>
    <w:lvl w:ilvl="0" w:tplc="C77C8FD8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972DEE"/>
    <w:multiLevelType w:val="hybridMultilevel"/>
    <w:tmpl w:val="6F5698FA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A34A93"/>
    <w:multiLevelType w:val="multilevel"/>
    <w:tmpl w:val="3DE8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A300CA"/>
    <w:multiLevelType w:val="hybridMultilevel"/>
    <w:tmpl w:val="C5E223D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1524B"/>
    <w:multiLevelType w:val="hybridMultilevel"/>
    <w:tmpl w:val="74160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34C7A"/>
    <w:multiLevelType w:val="hybridMultilevel"/>
    <w:tmpl w:val="B94AF846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30331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1FE8"/>
    <w:multiLevelType w:val="hybridMultilevel"/>
    <w:tmpl w:val="D9CCE5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64BC01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E24280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22277"/>
    <w:multiLevelType w:val="hybridMultilevel"/>
    <w:tmpl w:val="57FA8CC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1332C3"/>
    <w:multiLevelType w:val="hybridMultilevel"/>
    <w:tmpl w:val="43FA398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90458"/>
    <w:multiLevelType w:val="hybridMultilevel"/>
    <w:tmpl w:val="A4D04A0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0FF"/>
    <w:multiLevelType w:val="hybridMultilevel"/>
    <w:tmpl w:val="071E60EC"/>
    <w:lvl w:ilvl="0" w:tplc="B6684B6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656CDF"/>
    <w:multiLevelType w:val="hybridMultilevel"/>
    <w:tmpl w:val="653AE4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17275"/>
    <w:multiLevelType w:val="hybridMultilevel"/>
    <w:tmpl w:val="789A37CE"/>
    <w:lvl w:ilvl="0" w:tplc="72DE19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5A7D84"/>
    <w:multiLevelType w:val="hybridMultilevel"/>
    <w:tmpl w:val="22043E7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3F7BC0"/>
    <w:multiLevelType w:val="hybridMultilevel"/>
    <w:tmpl w:val="A0B27AF0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652CA3"/>
    <w:multiLevelType w:val="hybridMultilevel"/>
    <w:tmpl w:val="A6A24816"/>
    <w:lvl w:ilvl="0" w:tplc="0464AB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1616B"/>
    <w:multiLevelType w:val="hybridMultilevel"/>
    <w:tmpl w:val="49D01170"/>
    <w:lvl w:ilvl="0" w:tplc="345621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FC1F70"/>
    <w:multiLevelType w:val="hybridMultilevel"/>
    <w:tmpl w:val="42F2A2B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693B5C"/>
    <w:multiLevelType w:val="hybridMultilevel"/>
    <w:tmpl w:val="3D1A95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BD84EE4A">
      <w:start w:val="1"/>
      <w:numFmt w:val="decimal"/>
      <w:lvlText w:val="%4"/>
      <w:lvlJc w:val="left"/>
      <w:pPr>
        <w:ind w:left="288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7C696E"/>
    <w:multiLevelType w:val="hybridMultilevel"/>
    <w:tmpl w:val="43FA398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A40289"/>
    <w:multiLevelType w:val="hybridMultilevel"/>
    <w:tmpl w:val="979CA79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5C1576"/>
    <w:multiLevelType w:val="hybridMultilevel"/>
    <w:tmpl w:val="B6B6D3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E5317"/>
    <w:multiLevelType w:val="hybridMultilevel"/>
    <w:tmpl w:val="98A202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95087"/>
    <w:multiLevelType w:val="hybridMultilevel"/>
    <w:tmpl w:val="120C9A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85DD8"/>
    <w:multiLevelType w:val="hybridMultilevel"/>
    <w:tmpl w:val="F31628B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0717320"/>
    <w:multiLevelType w:val="hybridMultilevel"/>
    <w:tmpl w:val="9484F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067E5"/>
    <w:multiLevelType w:val="hybridMultilevel"/>
    <w:tmpl w:val="5164D228"/>
    <w:lvl w:ilvl="0" w:tplc="C77C8FD8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C660C"/>
    <w:multiLevelType w:val="hybridMultilevel"/>
    <w:tmpl w:val="C1E27B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30"/>
  </w:num>
  <w:num w:numId="4">
    <w:abstractNumId w:val="18"/>
  </w:num>
  <w:num w:numId="5">
    <w:abstractNumId w:val="2"/>
  </w:num>
  <w:num w:numId="6">
    <w:abstractNumId w:val="32"/>
  </w:num>
  <w:num w:numId="7">
    <w:abstractNumId w:val="25"/>
  </w:num>
  <w:num w:numId="8">
    <w:abstractNumId w:val="35"/>
  </w:num>
  <w:num w:numId="9">
    <w:abstractNumId w:val="6"/>
  </w:num>
  <w:num w:numId="10">
    <w:abstractNumId w:val="9"/>
  </w:num>
  <w:num w:numId="11">
    <w:abstractNumId w:val="26"/>
  </w:num>
  <w:num w:numId="12">
    <w:abstractNumId w:val="11"/>
  </w:num>
  <w:num w:numId="13">
    <w:abstractNumId w:val="36"/>
  </w:num>
  <w:num w:numId="14">
    <w:abstractNumId w:val="7"/>
  </w:num>
  <w:num w:numId="15">
    <w:abstractNumId w:val="8"/>
  </w:num>
  <w:num w:numId="16">
    <w:abstractNumId w:val="37"/>
  </w:num>
  <w:num w:numId="17">
    <w:abstractNumId w:val="33"/>
  </w:num>
  <w:num w:numId="18">
    <w:abstractNumId w:val="12"/>
  </w:num>
  <w:num w:numId="19">
    <w:abstractNumId w:val="17"/>
  </w:num>
  <w:num w:numId="20">
    <w:abstractNumId w:val="23"/>
  </w:num>
  <w:num w:numId="21">
    <w:abstractNumId w:val="14"/>
  </w:num>
  <w:num w:numId="22">
    <w:abstractNumId w:val="28"/>
  </w:num>
  <w:num w:numId="23">
    <w:abstractNumId w:val="5"/>
  </w:num>
  <w:num w:numId="24">
    <w:abstractNumId w:val="15"/>
  </w:num>
  <w:num w:numId="25">
    <w:abstractNumId w:val="1"/>
  </w:num>
  <w:num w:numId="26">
    <w:abstractNumId w:val="27"/>
  </w:num>
  <w:num w:numId="27">
    <w:abstractNumId w:val="40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2"/>
  </w:num>
  <w:num w:numId="31">
    <w:abstractNumId w:val="19"/>
  </w:num>
  <w:num w:numId="32">
    <w:abstractNumId w:val="10"/>
  </w:num>
  <w:num w:numId="33">
    <w:abstractNumId w:val="41"/>
  </w:num>
  <w:num w:numId="34">
    <w:abstractNumId w:val="34"/>
  </w:num>
  <w:num w:numId="35">
    <w:abstractNumId w:val="4"/>
  </w:num>
  <w:num w:numId="36">
    <w:abstractNumId w:val="31"/>
  </w:num>
  <w:num w:numId="37">
    <w:abstractNumId w:val="24"/>
  </w:num>
  <w:num w:numId="38">
    <w:abstractNumId w:val="21"/>
  </w:num>
  <w:num w:numId="39">
    <w:abstractNumId w:val="3"/>
  </w:num>
  <w:num w:numId="40">
    <w:abstractNumId w:val="16"/>
  </w:num>
  <w:num w:numId="41">
    <w:abstractNumId w:val="39"/>
  </w:num>
  <w:num w:numId="42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4121"/>
    <w:rsid w:val="00006651"/>
    <w:rsid w:val="0000688A"/>
    <w:rsid w:val="000078C5"/>
    <w:rsid w:val="0001718E"/>
    <w:rsid w:val="00017265"/>
    <w:rsid w:val="00021F01"/>
    <w:rsid w:val="00022434"/>
    <w:rsid w:val="000257AF"/>
    <w:rsid w:val="00030C99"/>
    <w:rsid w:val="0004083F"/>
    <w:rsid w:val="00047921"/>
    <w:rsid w:val="00051091"/>
    <w:rsid w:val="00051954"/>
    <w:rsid w:val="00052E12"/>
    <w:rsid w:val="000607B2"/>
    <w:rsid w:val="00071ABF"/>
    <w:rsid w:val="00072B54"/>
    <w:rsid w:val="000801D4"/>
    <w:rsid w:val="000805F9"/>
    <w:rsid w:val="00083C68"/>
    <w:rsid w:val="00090248"/>
    <w:rsid w:val="000930C7"/>
    <w:rsid w:val="00095E13"/>
    <w:rsid w:val="000A6EC4"/>
    <w:rsid w:val="000C79D7"/>
    <w:rsid w:val="000D2062"/>
    <w:rsid w:val="000E3DB7"/>
    <w:rsid w:val="000E6FF9"/>
    <w:rsid w:val="000E732F"/>
    <w:rsid w:val="000F039A"/>
    <w:rsid w:val="000F24BF"/>
    <w:rsid w:val="000F4516"/>
    <w:rsid w:val="000F6120"/>
    <w:rsid w:val="0010445B"/>
    <w:rsid w:val="00104E9D"/>
    <w:rsid w:val="001228A1"/>
    <w:rsid w:val="00124BD8"/>
    <w:rsid w:val="00125FCE"/>
    <w:rsid w:val="00132062"/>
    <w:rsid w:val="001354A8"/>
    <w:rsid w:val="00135544"/>
    <w:rsid w:val="0013777A"/>
    <w:rsid w:val="001427FF"/>
    <w:rsid w:val="00154CDE"/>
    <w:rsid w:val="0015728D"/>
    <w:rsid w:val="00157EA7"/>
    <w:rsid w:val="00164F61"/>
    <w:rsid w:val="00166C8A"/>
    <w:rsid w:val="001727FB"/>
    <w:rsid w:val="00172F84"/>
    <w:rsid w:val="00175D0B"/>
    <w:rsid w:val="001811FB"/>
    <w:rsid w:val="00182374"/>
    <w:rsid w:val="00182E77"/>
    <w:rsid w:val="00186B50"/>
    <w:rsid w:val="001912F7"/>
    <w:rsid w:val="00194138"/>
    <w:rsid w:val="0019616A"/>
    <w:rsid w:val="00197E62"/>
    <w:rsid w:val="001A25B5"/>
    <w:rsid w:val="001A2D21"/>
    <w:rsid w:val="001A5681"/>
    <w:rsid w:val="001B169F"/>
    <w:rsid w:val="001B43CF"/>
    <w:rsid w:val="001C1781"/>
    <w:rsid w:val="001C2BD3"/>
    <w:rsid w:val="001D2D15"/>
    <w:rsid w:val="001D3F65"/>
    <w:rsid w:val="001D434B"/>
    <w:rsid w:val="001D4797"/>
    <w:rsid w:val="001E4F4D"/>
    <w:rsid w:val="001E7D5D"/>
    <w:rsid w:val="001F0D40"/>
    <w:rsid w:val="001F1C37"/>
    <w:rsid w:val="001F2028"/>
    <w:rsid w:val="001F3D19"/>
    <w:rsid w:val="001F605E"/>
    <w:rsid w:val="001F6677"/>
    <w:rsid w:val="002007D6"/>
    <w:rsid w:val="00206CA9"/>
    <w:rsid w:val="00211184"/>
    <w:rsid w:val="00213438"/>
    <w:rsid w:val="0021755B"/>
    <w:rsid w:val="002277C8"/>
    <w:rsid w:val="0023041C"/>
    <w:rsid w:val="00232E26"/>
    <w:rsid w:val="00234738"/>
    <w:rsid w:val="00235E6D"/>
    <w:rsid w:val="002365D3"/>
    <w:rsid w:val="002404EA"/>
    <w:rsid w:val="00244D3C"/>
    <w:rsid w:val="00251B0A"/>
    <w:rsid w:val="002556DF"/>
    <w:rsid w:val="00257519"/>
    <w:rsid w:val="0026016A"/>
    <w:rsid w:val="00260FA4"/>
    <w:rsid w:val="00261DD9"/>
    <w:rsid w:val="002623B8"/>
    <w:rsid w:val="00263AE6"/>
    <w:rsid w:val="00264F85"/>
    <w:rsid w:val="00267058"/>
    <w:rsid w:val="00267ED2"/>
    <w:rsid w:val="0027529A"/>
    <w:rsid w:val="00275520"/>
    <w:rsid w:val="00275A08"/>
    <w:rsid w:val="0028327E"/>
    <w:rsid w:val="002835D0"/>
    <w:rsid w:val="00284CEE"/>
    <w:rsid w:val="00294404"/>
    <w:rsid w:val="0029641E"/>
    <w:rsid w:val="002A0744"/>
    <w:rsid w:val="002A231C"/>
    <w:rsid w:val="002A3A33"/>
    <w:rsid w:val="002A42AC"/>
    <w:rsid w:val="002B2C87"/>
    <w:rsid w:val="002B559D"/>
    <w:rsid w:val="002C2D40"/>
    <w:rsid w:val="002C3507"/>
    <w:rsid w:val="002C5B31"/>
    <w:rsid w:val="002C7304"/>
    <w:rsid w:val="002D3099"/>
    <w:rsid w:val="002E179E"/>
    <w:rsid w:val="002F1CC4"/>
    <w:rsid w:val="002F5714"/>
    <w:rsid w:val="002F5D79"/>
    <w:rsid w:val="002F70E6"/>
    <w:rsid w:val="00300DA7"/>
    <w:rsid w:val="00301C1F"/>
    <w:rsid w:val="003055B6"/>
    <w:rsid w:val="00306839"/>
    <w:rsid w:val="00307B46"/>
    <w:rsid w:val="0032080D"/>
    <w:rsid w:val="00320DAA"/>
    <w:rsid w:val="00322604"/>
    <w:rsid w:val="00325192"/>
    <w:rsid w:val="00331071"/>
    <w:rsid w:val="00331B4C"/>
    <w:rsid w:val="00343C31"/>
    <w:rsid w:val="003447C7"/>
    <w:rsid w:val="00346308"/>
    <w:rsid w:val="003477E4"/>
    <w:rsid w:val="00353A56"/>
    <w:rsid w:val="00354EA1"/>
    <w:rsid w:val="00360AB9"/>
    <w:rsid w:val="003625F4"/>
    <w:rsid w:val="003663EE"/>
    <w:rsid w:val="00371E02"/>
    <w:rsid w:val="00373131"/>
    <w:rsid w:val="003741C4"/>
    <w:rsid w:val="00376D03"/>
    <w:rsid w:val="00383D00"/>
    <w:rsid w:val="00386F15"/>
    <w:rsid w:val="003A5E92"/>
    <w:rsid w:val="003B1833"/>
    <w:rsid w:val="003D2456"/>
    <w:rsid w:val="003D2EE5"/>
    <w:rsid w:val="003D4D6A"/>
    <w:rsid w:val="003D517F"/>
    <w:rsid w:val="003D6307"/>
    <w:rsid w:val="003D6978"/>
    <w:rsid w:val="003E5E6B"/>
    <w:rsid w:val="003F3928"/>
    <w:rsid w:val="0040540D"/>
    <w:rsid w:val="004055EE"/>
    <w:rsid w:val="00407FC6"/>
    <w:rsid w:val="004129C1"/>
    <w:rsid w:val="00417053"/>
    <w:rsid w:val="00420693"/>
    <w:rsid w:val="00427028"/>
    <w:rsid w:val="00436D48"/>
    <w:rsid w:val="004402E2"/>
    <w:rsid w:val="00442A5F"/>
    <w:rsid w:val="00443988"/>
    <w:rsid w:val="0045535D"/>
    <w:rsid w:val="004568B5"/>
    <w:rsid w:val="0046028D"/>
    <w:rsid w:val="00461DB4"/>
    <w:rsid w:val="00464313"/>
    <w:rsid w:val="00466E78"/>
    <w:rsid w:val="00466F81"/>
    <w:rsid w:val="004727DB"/>
    <w:rsid w:val="00472E47"/>
    <w:rsid w:val="00473CC6"/>
    <w:rsid w:val="004752ED"/>
    <w:rsid w:val="00490364"/>
    <w:rsid w:val="004903B9"/>
    <w:rsid w:val="00493FC0"/>
    <w:rsid w:val="004A07FF"/>
    <w:rsid w:val="004A17FA"/>
    <w:rsid w:val="004A29B5"/>
    <w:rsid w:val="004A4B0E"/>
    <w:rsid w:val="004B5395"/>
    <w:rsid w:val="004B5B62"/>
    <w:rsid w:val="004B74B7"/>
    <w:rsid w:val="004C36A0"/>
    <w:rsid w:val="004C5005"/>
    <w:rsid w:val="004C643F"/>
    <w:rsid w:val="004D1693"/>
    <w:rsid w:val="004D1C6B"/>
    <w:rsid w:val="004D79A1"/>
    <w:rsid w:val="004E4E2D"/>
    <w:rsid w:val="004F39DB"/>
    <w:rsid w:val="00500733"/>
    <w:rsid w:val="005060B6"/>
    <w:rsid w:val="00506B98"/>
    <w:rsid w:val="00511497"/>
    <w:rsid w:val="00512C11"/>
    <w:rsid w:val="00517EDF"/>
    <w:rsid w:val="00526E1E"/>
    <w:rsid w:val="00533855"/>
    <w:rsid w:val="00555382"/>
    <w:rsid w:val="00563AEA"/>
    <w:rsid w:val="0056749D"/>
    <w:rsid w:val="00567B46"/>
    <w:rsid w:val="005711AA"/>
    <w:rsid w:val="005818DE"/>
    <w:rsid w:val="005833D9"/>
    <w:rsid w:val="00587065"/>
    <w:rsid w:val="00592343"/>
    <w:rsid w:val="00595408"/>
    <w:rsid w:val="005969B3"/>
    <w:rsid w:val="005A18E4"/>
    <w:rsid w:val="005A2C77"/>
    <w:rsid w:val="005A5A9F"/>
    <w:rsid w:val="005A7969"/>
    <w:rsid w:val="005B0281"/>
    <w:rsid w:val="005B4D33"/>
    <w:rsid w:val="005C51AC"/>
    <w:rsid w:val="005D0AA8"/>
    <w:rsid w:val="005F096C"/>
    <w:rsid w:val="005F1047"/>
    <w:rsid w:val="005F2146"/>
    <w:rsid w:val="005F4413"/>
    <w:rsid w:val="005F4EB6"/>
    <w:rsid w:val="005F6136"/>
    <w:rsid w:val="00601058"/>
    <w:rsid w:val="00601F8C"/>
    <w:rsid w:val="00603A42"/>
    <w:rsid w:val="00614424"/>
    <w:rsid w:val="00614589"/>
    <w:rsid w:val="00614D0E"/>
    <w:rsid w:val="00615410"/>
    <w:rsid w:val="006154A0"/>
    <w:rsid w:val="00621913"/>
    <w:rsid w:val="0062745D"/>
    <w:rsid w:val="00633ECF"/>
    <w:rsid w:val="00635F4C"/>
    <w:rsid w:val="00643720"/>
    <w:rsid w:val="0064512E"/>
    <w:rsid w:val="0064768C"/>
    <w:rsid w:val="00647BA8"/>
    <w:rsid w:val="00650C98"/>
    <w:rsid w:val="0066299E"/>
    <w:rsid w:val="006733CF"/>
    <w:rsid w:val="006735CF"/>
    <w:rsid w:val="00681D6A"/>
    <w:rsid w:val="006859F0"/>
    <w:rsid w:val="006907AD"/>
    <w:rsid w:val="00690955"/>
    <w:rsid w:val="00693EB0"/>
    <w:rsid w:val="006A07AA"/>
    <w:rsid w:val="006A0A02"/>
    <w:rsid w:val="006A1BDE"/>
    <w:rsid w:val="006A2718"/>
    <w:rsid w:val="006A4CD0"/>
    <w:rsid w:val="006B36D8"/>
    <w:rsid w:val="006B7391"/>
    <w:rsid w:val="006C0967"/>
    <w:rsid w:val="006C0C4E"/>
    <w:rsid w:val="006C126F"/>
    <w:rsid w:val="006C2258"/>
    <w:rsid w:val="006C33F7"/>
    <w:rsid w:val="006D14FB"/>
    <w:rsid w:val="006D1A4A"/>
    <w:rsid w:val="006D332D"/>
    <w:rsid w:val="006D3C90"/>
    <w:rsid w:val="006D586D"/>
    <w:rsid w:val="006E1DDB"/>
    <w:rsid w:val="006E5D45"/>
    <w:rsid w:val="006E7835"/>
    <w:rsid w:val="006F0087"/>
    <w:rsid w:val="006F172C"/>
    <w:rsid w:val="006F78BC"/>
    <w:rsid w:val="00702D29"/>
    <w:rsid w:val="00707CD1"/>
    <w:rsid w:val="00715C1E"/>
    <w:rsid w:val="00720241"/>
    <w:rsid w:val="00724B59"/>
    <w:rsid w:val="0072553E"/>
    <w:rsid w:val="00727C21"/>
    <w:rsid w:val="00733C3E"/>
    <w:rsid w:val="007349AA"/>
    <w:rsid w:val="007355AE"/>
    <w:rsid w:val="00735DA6"/>
    <w:rsid w:val="0073720E"/>
    <w:rsid w:val="00744BED"/>
    <w:rsid w:val="00745DD1"/>
    <w:rsid w:val="0075357A"/>
    <w:rsid w:val="007561B5"/>
    <w:rsid w:val="0076052B"/>
    <w:rsid w:val="00770049"/>
    <w:rsid w:val="00770C46"/>
    <w:rsid w:val="00775663"/>
    <w:rsid w:val="00776E98"/>
    <w:rsid w:val="007771AB"/>
    <w:rsid w:val="00777AE7"/>
    <w:rsid w:val="00786D10"/>
    <w:rsid w:val="00794657"/>
    <w:rsid w:val="007A66E2"/>
    <w:rsid w:val="007A6B1A"/>
    <w:rsid w:val="007A7669"/>
    <w:rsid w:val="007B5440"/>
    <w:rsid w:val="007C006A"/>
    <w:rsid w:val="007C4991"/>
    <w:rsid w:val="007D1B8B"/>
    <w:rsid w:val="007D578D"/>
    <w:rsid w:val="007D7BB4"/>
    <w:rsid w:val="007E11EC"/>
    <w:rsid w:val="007E22EA"/>
    <w:rsid w:val="007E3DD3"/>
    <w:rsid w:val="007E5EB9"/>
    <w:rsid w:val="007F0900"/>
    <w:rsid w:val="007F5362"/>
    <w:rsid w:val="007F6DC2"/>
    <w:rsid w:val="008015BD"/>
    <w:rsid w:val="00802EE1"/>
    <w:rsid w:val="008059CE"/>
    <w:rsid w:val="0081084A"/>
    <w:rsid w:val="008140D3"/>
    <w:rsid w:val="008238DD"/>
    <w:rsid w:val="008241B8"/>
    <w:rsid w:val="00826234"/>
    <w:rsid w:val="00826595"/>
    <w:rsid w:val="008269D8"/>
    <w:rsid w:val="008340A8"/>
    <w:rsid w:val="008428EA"/>
    <w:rsid w:val="008512FA"/>
    <w:rsid w:val="00851DAA"/>
    <w:rsid w:val="00856278"/>
    <w:rsid w:val="00861BB2"/>
    <w:rsid w:val="0086255A"/>
    <w:rsid w:val="00863E15"/>
    <w:rsid w:val="00875D99"/>
    <w:rsid w:val="0087669B"/>
    <w:rsid w:val="00877FDB"/>
    <w:rsid w:val="00880257"/>
    <w:rsid w:val="0088561E"/>
    <w:rsid w:val="008912AF"/>
    <w:rsid w:val="0089208A"/>
    <w:rsid w:val="008A1356"/>
    <w:rsid w:val="008A69EC"/>
    <w:rsid w:val="008B46FC"/>
    <w:rsid w:val="008B5265"/>
    <w:rsid w:val="008B70F8"/>
    <w:rsid w:val="008C2CC2"/>
    <w:rsid w:val="008C306B"/>
    <w:rsid w:val="008D050B"/>
    <w:rsid w:val="008D25AA"/>
    <w:rsid w:val="008D3AB4"/>
    <w:rsid w:val="008D413B"/>
    <w:rsid w:val="008E00F4"/>
    <w:rsid w:val="008E17EE"/>
    <w:rsid w:val="008E2D47"/>
    <w:rsid w:val="008F41E0"/>
    <w:rsid w:val="008F4BF3"/>
    <w:rsid w:val="00901C7D"/>
    <w:rsid w:val="00912EF1"/>
    <w:rsid w:val="00915ADC"/>
    <w:rsid w:val="00916DB5"/>
    <w:rsid w:val="009204A0"/>
    <w:rsid w:val="009327BD"/>
    <w:rsid w:val="009335A7"/>
    <w:rsid w:val="009465F6"/>
    <w:rsid w:val="009517D9"/>
    <w:rsid w:val="009570A0"/>
    <w:rsid w:val="009620F1"/>
    <w:rsid w:val="00964767"/>
    <w:rsid w:val="00964F07"/>
    <w:rsid w:val="009653B7"/>
    <w:rsid w:val="00966DD2"/>
    <w:rsid w:val="0096746B"/>
    <w:rsid w:val="00967C7B"/>
    <w:rsid w:val="00972699"/>
    <w:rsid w:val="00991B4A"/>
    <w:rsid w:val="00992AD5"/>
    <w:rsid w:val="009947ED"/>
    <w:rsid w:val="009964BD"/>
    <w:rsid w:val="009A0DF3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68EB"/>
    <w:rsid w:val="009D7C8C"/>
    <w:rsid w:val="009E2655"/>
    <w:rsid w:val="009E3C10"/>
    <w:rsid w:val="009E4E7A"/>
    <w:rsid w:val="009E6668"/>
    <w:rsid w:val="009F61BF"/>
    <w:rsid w:val="009F6B50"/>
    <w:rsid w:val="00A06D4C"/>
    <w:rsid w:val="00A07FF5"/>
    <w:rsid w:val="00A206D6"/>
    <w:rsid w:val="00A2106A"/>
    <w:rsid w:val="00A26D09"/>
    <w:rsid w:val="00A30820"/>
    <w:rsid w:val="00A3144F"/>
    <w:rsid w:val="00A31C6C"/>
    <w:rsid w:val="00A36900"/>
    <w:rsid w:val="00A411F6"/>
    <w:rsid w:val="00A418A7"/>
    <w:rsid w:val="00A43AF5"/>
    <w:rsid w:val="00A511BF"/>
    <w:rsid w:val="00A530B3"/>
    <w:rsid w:val="00A63F98"/>
    <w:rsid w:val="00A64547"/>
    <w:rsid w:val="00A73365"/>
    <w:rsid w:val="00A77B66"/>
    <w:rsid w:val="00A87FEC"/>
    <w:rsid w:val="00A92CFE"/>
    <w:rsid w:val="00A95B69"/>
    <w:rsid w:val="00AA3107"/>
    <w:rsid w:val="00AA361A"/>
    <w:rsid w:val="00AA3711"/>
    <w:rsid w:val="00AC1F83"/>
    <w:rsid w:val="00AC5593"/>
    <w:rsid w:val="00AD17D8"/>
    <w:rsid w:val="00AD3522"/>
    <w:rsid w:val="00AD4DFE"/>
    <w:rsid w:val="00AD7342"/>
    <w:rsid w:val="00AE2009"/>
    <w:rsid w:val="00AE240F"/>
    <w:rsid w:val="00AF1E09"/>
    <w:rsid w:val="00AF6549"/>
    <w:rsid w:val="00B058D6"/>
    <w:rsid w:val="00B05E3E"/>
    <w:rsid w:val="00B25B40"/>
    <w:rsid w:val="00B26F5E"/>
    <w:rsid w:val="00B33CF6"/>
    <w:rsid w:val="00B46948"/>
    <w:rsid w:val="00B54D25"/>
    <w:rsid w:val="00B60E71"/>
    <w:rsid w:val="00B63AFD"/>
    <w:rsid w:val="00B67E6D"/>
    <w:rsid w:val="00B70F33"/>
    <w:rsid w:val="00B717D2"/>
    <w:rsid w:val="00B72AFF"/>
    <w:rsid w:val="00B754EA"/>
    <w:rsid w:val="00B764A7"/>
    <w:rsid w:val="00B836AA"/>
    <w:rsid w:val="00B924C8"/>
    <w:rsid w:val="00B926F4"/>
    <w:rsid w:val="00B94AFE"/>
    <w:rsid w:val="00B95C6E"/>
    <w:rsid w:val="00B95DB4"/>
    <w:rsid w:val="00BA08EA"/>
    <w:rsid w:val="00BB0881"/>
    <w:rsid w:val="00BB44AC"/>
    <w:rsid w:val="00BB4630"/>
    <w:rsid w:val="00BB6182"/>
    <w:rsid w:val="00BB727A"/>
    <w:rsid w:val="00BC5F27"/>
    <w:rsid w:val="00BC5F39"/>
    <w:rsid w:val="00BD0512"/>
    <w:rsid w:val="00BD06E6"/>
    <w:rsid w:val="00BD15F4"/>
    <w:rsid w:val="00BD40A5"/>
    <w:rsid w:val="00BF192D"/>
    <w:rsid w:val="00BF7C16"/>
    <w:rsid w:val="00C04EC8"/>
    <w:rsid w:val="00C0667E"/>
    <w:rsid w:val="00C13777"/>
    <w:rsid w:val="00C13C66"/>
    <w:rsid w:val="00C159BF"/>
    <w:rsid w:val="00C218FD"/>
    <w:rsid w:val="00C22388"/>
    <w:rsid w:val="00C3131A"/>
    <w:rsid w:val="00C34A96"/>
    <w:rsid w:val="00C44822"/>
    <w:rsid w:val="00C470B0"/>
    <w:rsid w:val="00C53702"/>
    <w:rsid w:val="00C5794D"/>
    <w:rsid w:val="00C656BA"/>
    <w:rsid w:val="00C67BFC"/>
    <w:rsid w:val="00C72FE0"/>
    <w:rsid w:val="00C75301"/>
    <w:rsid w:val="00C75A07"/>
    <w:rsid w:val="00C76706"/>
    <w:rsid w:val="00C77695"/>
    <w:rsid w:val="00C77902"/>
    <w:rsid w:val="00C8238D"/>
    <w:rsid w:val="00C832E6"/>
    <w:rsid w:val="00C947ED"/>
    <w:rsid w:val="00C94B0C"/>
    <w:rsid w:val="00C97BE5"/>
    <w:rsid w:val="00CA2466"/>
    <w:rsid w:val="00CA51FE"/>
    <w:rsid w:val="00CA5E52"/>
    <w:rsid w:val="00CA781E"/>
    <w:rsid w:val="00CE695D"/>
    <w:rsid w:val="00CF0D0E"/>
    <w:rsid w:val="00CF1763"/>
    <w:rsid w:val="00D01221"/>
    <w:rsid w:val="00D0666A"/>
    <w:rsid w:val="00D070A6"/>
    <w:rsid w:val="00D072D1"/>
    <w:rsid w:val="00D12143"/>
    <w:rsid w:val="00D21DA3"/>
    <w:rsid w:val="00D22C6B"/>
    <w:rsid w:val="00D27D81"/>
    <w:rsid w:val="00D34EEF"/>
    <w:rsid w:val="00D40707"/>
    <w:rsid w:val="00D42A25"/>
    <w:rsid w:val="00D43073"/>
    <w:rsid w:val="00D462BB"/>
    <w:rsid w:val="00D52569"/>
    <w:rsid w:val="00D54063"/>
    <w:rsid w:val="00D5426B"/>
    <w:rsid w:val="00D543AD"/>
    <w:rsid w:val="00D54FB0"/>
    <w:rsid w:val="00D559BC"/>
    <w:rsid w:val="00D57FA5"/>
    <w:rsid w:val="00D82419"/>
    <w:rsid w:val="00D82D18"/>
    <w:rsid w:val="00D919CF"/>
    <w:rsid w:val="00D9209A"/>
    <w:rsid w:val="00D94FFB"/>
    <w:rsid w:val="00D96832"/>
    <w:rsid w:val="00D97CE8"/>
    <w:rsid w:val="00DA099E"/>
    <w:rsid w:val="00DA2F09"/>
    <w:rsid w:val="00DB771E"/>
    <w:rsid w:val="00DC1410"/>
    <w:rsid w:val="00DE4E04"/>
    <w:rsid w:val="00DE4FBD"/>
    <w:rsid w:val="00DE6AE2"/>
    <w:rsid w:val="00DF3E6D"/>
    <w:rsid w:val="00DF4A49"/>
    <w:rsid w:val="00E00735"/>
    <w:rsid w:val="00E1315F"/>
    <w:rsid w:val="00E156FE"/>
    <w:rsid w:val="00E23ACF"/>
    <w:rsid w:val="00E24C70"/>
    <w:rsid w:val="00E3422A"/>
    <w:rsid w:val="00E35235"/>
    <w:rsid w:val="00E440DD"/>
    <w:rsid w:val="00E51541"/>
    <w:rsid w:val="00E51687"/>
    <w:rsid w:val="00E533AB"/>
    <w:rsid w:val="00E605F9"/>
    <w:rsid w:val="00E6353C"/>
    <w:rsid w:val="00E6497E"/>
    <w:rsid w:val="00E76A48"/>
    <w:rsid w:val="00E77658"/>
    <w:rsid w:val="00E779E9"/>
    <w:rsid w:val="00E97826"/>
    <w:rsid w:val="00EA28F9"/>
    <w:rsid w:val="00EB1080"/>
    <w:rsid w:val="00EB25BE"/>
    <w:rsid w:val="00EB443D"/>
    <w:rsid w:val="00EB5301"/>
    <w:rsid w:val="00ED034B"/>
    <w:rsid w:val="00ED2D25"/>
    <w:rsid w:val="00ED716C"/>
    <w:rsid w:val="00EE0FC2"/>
    <w:rsid w:val="00EE34C0"/>
    <w:rsid w:val="00EE7FCE"/>
    <w:rsid w:val="00EF0355"/>
    <w:rsid w:val="00EF5BC4"/>
    <w:rsid w:val="00F03C0C"/>
    <w:rsid w:val="00F14865"/>
    <w:rsid w:val="00F25DC2"/>
    <w:rsid w:val="00F260F2"/>
    <w:rsid w:val="00F27098"/>
    <w:rsid w:val="00F322FD"/>
    <w:rsid w:val="00F424E8"/>
    <w:rsid w:val="00F4483B"/>
    <w:rsid w:val="00F44EC8"/>
    <w:rsid w:val="00F457CC"/>
    <w:rsid w:val="00F545D6"/>
    <w:rsid w:val="00F6127B"/>
    <w:rsid w:val="00F6660A"/>
    <w:rsid w:val="00F67E08"/>
    <w:rsid w:val="00F700E1"/>
    <w:rsid w:val="00F74CB4"/>
    <w:rsid w:val="00F80D54"/>
    <w:rsid w:val="00F8134E"/>
    <w:rsid w:val="00F83C0F"/>
    <w:rsid w:val="00F8403C"/>
    <w:rsid w:val="00F850ED"/>
    <w:rsid w:val="00F931F8"/>
    <w:rsid w:val="00F934D4"/>
    <w:rsid w:val="00FA002E"/>
    <w:rsid w:val="00FA2BB9"/>
    <w:rsid w:val="00FA4AF3"/>
    <w:rsid w:val="00FA59DC"/>
    <w:rsid w:val="00FB0CB1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8F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C13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13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157E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3945C-A4F8-4150-B467-EC98D1DBE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1527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Viviane Oliveira de Sousa Correia</cp:lastModifiedBy>
  <cp:revision>9</cp:revision>
  <cp:lastPrinted>2020-02-11T11:33:00Z</cp:lastPrinted>
  <dcterms:created xsi:type="dcterms:W3CDTF">2021-10-18T20:12:00Z</dcterms:created>
  <dcterms:modified xsi:type="dcterms:W3CDTF">2024-04-15T13:54:00Z</dcterms:modified>
</cp:coreProperties>
</file>