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FE" w:rsidRPr="00CE2D5A" w:rsidRDefault="00912EFE" w:rsidP="00912EFE">
      <w:pPr>
        <w:spacing w:after="0"/>
        <w:jc w:val="center"/>
        <w:rPr>
          <w:b/>
        </w:rPr>
      </w:pPr>
    </w:p>
    <w:p w:rsidR="00912EFE" w:rsidRDefault="00583E01" w:rsidP="00FF5F5C">
      <w:pPr>
        <w:pStyle w:val="PargrafodaLista"/>
        <w:numPr>
          <w:ilvl w:val="0"/>
          <w:numId w:val="17"/>
        </w:numPr>
        <w:spacing w:after="0" w:line="240" w:lineRule="auto"/>
        <w:ind w:left="360"/>
        <w:jc w:val="both"/>
        <w:rPr>
          <w:b/>
        </w:rPr>
      </w:pPr>
      <w:r>
        <w:rPr>
          <w:b/>
        </w:rPr>
        <w:t xml:space="preserve">O QUE É O HAEMOCOMPLETTAN </w:t>
      </w:r>
      <w:r w:rsidRPr="00912EFE">
        <w:rPr>
          <w:b/>
        </w:rPr>
        <w:t>P</w:t>
      </w:r>
      <w:r w:rsidRPr="00912EFE">
        <w:rPr>
          <w:b/>
          <w:vertAlign w:val="superscript"/>
        </w:rPr>
        <w:t>R</w:t>
      </w:r>
      <w:r w:rsidR="00912EFE" w:rsidRPr="00CE2D5A">
        <w:rPr>
          <w:b/>
        </w:rPr>
        <w:t xml:space="preserve">?  </w:t>
      </w:r>
    </w:p>
    <w:p w:rsidR="00912EFE" w:rsidRPr="00F43FFC" w:rsidRDefault="00912EFE" w:rsidP="00FF5F5C">
      <w:pPr>
        <w:spacing w:after="0" w:line="240" w:lineRule="auto"/>
        <w:ind w:firstLine="708"/>
        <w:jc w:val="both"/>
        <w:rPr>
          <w:b/>
        </w:rPr>
      </w:pPr>
      <w:r w:rsidRPr="00CE2D5A">
        <w:t>É um preparado industrial a base de concentrado de FIBRINOGÊNIO na forma de pó, que pode ser usado em emergências hemorrágicas. O fibrinogênio participa da fase final da cascata de coagulação, transformando-se em fibrina (por ação da trombina). É a fibrina associada ao fator XIII que formará uma rede estável de fibrina e plaquetas controlando o sangramento.</w:t>
      </w:r>
    </w:p>
    <w:p w:rsidR="00912EFE" w:rsidRPr="00CE2D5A" w:rsidRDefault="00912EFE" w:rsidP="00FF5F5C">
      <w:pPr>
        <w:spacing w:after="0" w:line="240" w:lineRule="auto"/>
        <w:jc w:val="both"/>
        <w:rPr>
          <w:b/>
        </w:rPr>
      </w:pPr>
    </w:p>
    <w:p w:rsidR="00912EFE" w:rsidRDefault="00912EFE" w:rsidP="00FF5F5C">
      <w:pPr>
        <w:pStyle w:val="PargrafodaLista"/>
        <w:numPr>
          <w:ilvl w:val="0"/>
          <w:numId w:val="17"/>
        </w:numPr>
        <w:spacing w:after="0" w:line="240" w:lineRule="auto"/>
        <w:ind w:left="360"/>
        <w:jc w:val="both"/>
        <w:rPr>
          <w:b/>
        </w:rPr>
      </w:pPr>
      <w:r w:rsidRPr="00CE2D5A">
        <w:rPr>
          <w:b/>
        </w:rPr>
        <w:t xml:space="preserve">QUANDO ESTARIA INDICADO SEU </w:t>
      </w:r>
      <w:proofErr w:type="gramStart"/>
      <w:r w:rsidRPr="00CE2D5A">
        <w:rPr>
          <w:b/>
        </w:rPr>
        <w:t>USO</w:t>
      </w:r>
      <w:r>
        <w:rPr>
          <w:b/>
        </w:rPr>
        <w:t xml:space="preserve"> </w:t>
      </w:r>
      <w:r w:rsidRPr="00CE2D5A">
        <w:rPr>
          <w:b/>
        </w:rPr>
        <w:t>?</w:t>
      </w:r>
      <w:proofErr w:type="gramEnd"/>
      <w:r w:rsidRPr="00CE2D5A">
        <w:rPr>
          <w:b/>
        </w:rPr>
        <w:t xml:space="preserve"> </w:t>
      </w:r>
    </w:p>
    <w:p w:rsidR="00912EFE" w:rsidRDefault="00912EFE" w:rsidP="00FF5F5C">
      <w:pPr>
        <w:spacing w:after="0" w:line="240" w:lineRule="auto"/>
        <w:ind w:firstLine="708"/>
        <w:jc w:val="both"/>
      </w:pPr>
      <w:r w:rsidRPr="00CE2D5A">
        <w:t xml:space="preserve">Seu uso é indicado para emergências hemorrágicas adquiridas: </w:t>
      </w:r>
    </w:p>
    <w:p w:rsidR="00912EFE" w:rsidRDefault="00912EFE" w:rsidP="00FF5F5C">
      <w:pPr>
        <w:pStyle w:val="PargrafodaLista"/>
        <w:numPr>
          <w:ilvl w:val="0"/>
          <w:numId w:val="20"/>
        </w:numPr>
        <w:spacing w:after="0" w:line="240" w:lineRule="auto"/>
        <w:ind w:left="1125"/>
        <w:jc w:val="both"/>
      </w:pPr>
      <w:r>
        <w:t>C</w:t>
      </w:r>
      <w:r w:rsidRPr="00CE2D5A">
        <w:t>omo nas complicações obstétricas;</w:t>
      </w:r>
    </w:p>
    <w:p w:rsidR="00912EFE" w:rsidRDefault="00912EFE" w:rsidP="00FF5F5C">
      <w:pPr>
        <w:pStyle w:val="PargrafodaLista"/>
        <w:numPr>
          <w:ilvl w:val="0"/>
          <w:numId w:val="20"/>
        </w:numPr>
        <w:spacing w:after="0" w:line="240" w:lineRule="auto"/>
        <w:ind w:left="1125"/>
        <w:jc w:val="both"/>
      </w:pPr>
      <w:r>
        <w:t>N</w:t>
      </w:r>
      <w:r w:rsidRPr="00CE2D5A">
        <w:t xml:space="preserve">os casos de coagulação intravascular disseminada (CIVD) com </w:t>
      </w:r>
      <w:proofErr w:type="spellStart"/>
      <w:r w:rsidRPr="00CE2D5A">
        <w:t>hiperfibrinólise</w:t>
      </w:r>
      <w:proofErr w:type="spellEnd"/>
      <w:r w:rsidRPr="00CE2D5A">
        <w:t xml:space="preserve">; </w:t>
      </w:r>
    </w:p>
    <w:p w:rsidR="00912EFE" w:rsidRPr="00912EFE" w:rsidRDefault="00912EFE" w:rsidP="00FF5F5C">
      <w:pPr>
        <w:pStyle w:val="PargrafodaLista"/>
        <w:numPr>
          <w:ilvl w:val="0"/>
          <w:numId w:val="20"/>
        </w:numPr>
        <w:spacing w:after="0" w:line="240" w:lineRule="auto"/>
        <w:ind w:left="1125"/>
        <w:jc w:val="both"/>
      </w:pPr>
      <w:r>
        <w:t>N</w:t>
      </w:r>
      <w:r w:rsidRPr="00CE2D5A">
        <w:t xml:space="preserve">as </w:t>
      </w:r>
      <w:proofErr w:type="spellStart"/>
      <w:r w:rsidRPr="00CE2D5A">
        <w:t>coagulopatias</w:t>
      </w:r>
      <w:proofErr w:type="spellEnd"/>
      <w:r w:rsidRPr="00CE2D5A">
        <w:t xml:space="preserve"> de consumo: leucemia aguda, hemólise pós transfusão, em procedimentos cirúrgicos, sepse, insuficiência hepática aguda, etc.  É indicado também para as </w:t>
      </w:r>
      <w:proofErr w:type="spellStart"/>
      <w:r w:rsidRPr="00CE2D5A">
        <w:t>hipo</w:t>
      </w:r>
      <w:proofErr w:type="spellEnd"/>
      <w:r w:rsidRPr="00CE2D5A">
        <w:t xml:space="preserve"> ou </w:t>
      </w:r>
      <w:proofErr w:type="spellStart"/>
      <w:r w:rsidRPr="00CE2D5A">
        <w:t>disfibrinogenemias</w:t>
      </w:r>
      <w:proofErr w:type="spellEnd"/>
      <w:r w:rsidRPr="00CE2D5A">
        <w:t xml:space="preserve"> de causa congênita.</w:t>
      </w:r>
    </w:p>
    <w:p w:rsidR="00912EFE" w:rsidRPr="00CE2D5A" w:rsidRDefault="00912EFE" w:rsidP="00FF5F5C">
      <w:pPr>
        <w:spacing w:after="0" w:line="240" w:lineRule="auto"/>
        <w:jc w:val="both"/>
        <w:rPr>
          <w:b/>
        </w:rPr>
      </w:pPr>
    </w:p>
    <w:p w:rsidR="00912EFE" w:rsidRDefault="00912EFE" w:rsidP="00FF5F5C">
      <w:pPr>
        <w:pStyle w:val="PargrafodaLista"/>
        <w:numPr>
          <w:ilvl w:val="0"/>
          <w:numId w:val="17"/>
        </w:numPr>
        <w:spacing w:after="0" w:line="240" w:lineRule="auto"/>
        <w:ind w:left="360"/>
        <w:jc w:val="both"/>
        <w:rPr>
          <w:b/>
        </w:rPr>
      </w:pPr>
      <w:r w:rsidRPr="00CE2D5A">
        <w:rPr>
          <w:b/>
        </w:rPr>
        <w:t>QUAIS AS COMPLICAÇÕES OBSTÉTRICAS HEMORRÁGICAS MAIS COMUNS PODERIAM EXIGIR SEU USO?</w:t>
      </w:r>
    </w:p>
    <w:p w:rsidR="00912EFE" w:rsidRPr="00F43FFC" w:rsidRDefault="00912EFE" w:rsidP="00FF5F5C">
      <w:pPr>
        <w:spacing w:after="0" w:line="240" w:lineRule="auto"/>
        <w:ind w:firstLine="708"/>
        <w:jc w:val="both"/>
        <w:rPr>
          <w:b/>
        </w:rPr>
      </w:pPr>
      <w:r w:rsidRPr="00CE2D5A">
        <w:t xml:space="preserve">A hemorragia pós-parto (HPP) afeta cerca de 2% de todas as parturientes e está associada a um quarto da mortalidade materna relaciona ao parto. É considerada grave quando há perda de 1 litro ou mais de sangue no período de 24 horas. Suas causas são variadas e as mais comuns são: inversão uterina, retenção placentária, lacerações do canal de parto, atonia uterina e distúrbios da coagulação. </w:t>
      </w:r>
    </w:p>
    <w:p w:rsidR="00912EFE" w:rsidRPr="00CE2D5A" w:rsidRDefault="00912EFE" w:rsidP="00FF5F5C">
      <w:pPr>
        <w:pStyle w:val="PargrafodaLista"/>
        <w:spacing w:line="240" w:lineRule="auto"/>
        <w:ind w:left="360"/>
        <w:rPr>
          <w:b/>
        </w:rPr>
      </w:pPr>
    </w:p>
    <w:p w:rsidR="00583E01" w:rsidRDefault="00583E01" w:rsidP="00FF5F5C">
      <w:pPr>
        <w:pStyle w:val="PargrafodaLista"/>
        <w:numPr>
          <w:ilvl w:val="0"/>
          <w:numId w:val="17"/>
        </w:numPr>
        <w:spacing w:after="0" w:line="240" w:lineRule="auto"/>
        <w:ind w:left="360"/>
        <w:jc w:val="both"/>
        <w:rPr>
          <w:b/>
        </w:rPr>
      </w:pPr>
      <w:r w:rsidRPr="00CE2D5A">
        <w:rPr>
          <w:b/>
        </w:rPr>
        <w:t>COMO PROCEDER NOS CASOS DE HEMORRAGIA PÓS-PARTO?</w:t>
      </w:r>
    </w:p>
    <w:p w:rsidR="00912EFE" w:rsidRPr="00F43FFC" w:rsidRDefault="00912EFE" w:rsidP="00FF5F5C">
      <w:pPr>
        <w:spacing w:after="0" w:line="240" w:lineRule="auto"/>
        <w:ind w:firstLine="360"/>
        <w:jc w:val="both"/>
        <w:rPr>
          <w:b/>
        </w:rPr>
      </w:pPr>
      <w:r w:rsidRPr="00F43FFC">
        <w:rPr>
          <w:b/>
        </w:rPr>
        <w:t>Discutiremos o tratamento clínico, visto que o tratamento cirúrgico é individualizado:</w:t>
      </w:r>
    </w:p>
    <w:p w:rsidR="00912EFE" w:rsidRPr="00CE2D5A" w:rsidRDefault="00912EFE" w:rsidP="00FF5F5C">
      <w:pPr>
        <w:pStyle w:val="PargrafodaLista"/>
        <w:numPr>
          <w:ilvl w:val="1"/>
          <w:numId w:val="17"/>
        </w:numPr>
        <w:spacing w:after="0" w:line="240" w:lineRule="auto"/>
        <w:ind w:left="0" w:firstLine="426"/>
        <w:jc w:val="both"/>
        <w:rPr>
          <w:b/>
        </w:rPr>
      </w:pPr>
      <w:r w:rsidRPr="00CE2D5A">
        <w:t xml:space="preserve">Coletar sangue: </w:t>
      </w:r>
      <w:proofErr w:type="spellStart"/>
      <w:r w:rsidRPr="00CE2D5A">
        <w:t>tipagem</w:t>
      </w:r>
      <w:proofErr w:type="spellEnd"/>
      <w:r w:rsidRPr="00CE2D5A">
        <w:t xml:space="preserve"> sanguínea, hemograma, </w:t>
      </w:r>
      <w:proofErr w:type="spellStart"/>
      <w:r w:rsidRPr="00CE2D5A">
        <w:t>coagulograma</w:t>
      </w:r>
      <w:proofErr w:type="spellEnd"/>
      <w:r w:rsidRPr="00CE2D5A">
        <w:t xml:space="preserve"> e dosagem de FIBRINOGÊNIO</w:t>
      </w:r>
      <w:r w:rsidR="00583E01">
        <w:t>;</w:t>
      </w:r>
    </w:p>
    <w:p w:rsidR="00912EFE" w:rsidRPr="00CE2D5A" w:rsidRDefault="00912EFE" w:rsidP="00FF5F5C">
      <w:pPr>
        <w:pStyle w:val="PargrafodaLista"/>
        <w:numPr>
          <w:ilvl w:val="1"/>
          <w:numId w:val="17"/>
        </w:numPr>
        <w:spacing w:after="0" w:line="240" w:lineRule="auto"/>
        <w:ind w:left="0" w:firstLine="426"/>
        <w:jc w:val="both"/>
        <w:rPr>
          <w:b/>
        </w:rPr>
      </w:pPr>
      <w:r w:rsidRPr="00CE2D5A">
        <w:t>Monitorização contínua e avaliação de sinais vitais, com manejo adequado de vias aéreas</w:t>
      </w:r>
      <w:r w:rsidR="00583E01">
        <w:t>;</w:t>
      </w:r>
    </w:p>
    <w:p w:rsidR="00912EFE" w:rsidRPr="00CE2D5A" w:rsidRDefault="00912EFE" w:rsidP="00FF5F5C">
      <w:pPr>
        <w:pStyle w:val="PargrafodaLista"/>
        <w:numPr>
          <w:ilvl w:val="1"/>
          <w:numId w:val="17"/>
        </w:numPr>
        <w:spacing w:after="0" w:line="240" w:lineRule="auto"/>
        <w:ind w:left="0" w:firstLine="426"/>
        <w:jc w:val="both"/>
        <w:rPr>
          <w:b/>
        </w:rPr>
      </w:pPr>
      <w:r w:rsidRPr="00CE2D5A">
        <w:t xml:space="preserve">Ressuscitação volêmica inicial com 2 litros de fluidos cristaloides ou </w:t>
      </w:r>
      <w:proofErr w:type="spellStart"/>
      <w:r w:rsidRPr="00CE2D5A">
        <w:t>colóides</w:t>
      </w:r>
      <w:proofErr w:type="spellEnd"/>
      <w:r w:rsidR="00583E01">
        <w:t>;</w:t>
      </w:r>
    </w:p>
    <w:p w:rsidR="00912EFE" w:rsidRPr="00CE2D5A" w:rsidRDefault="00912EFE" w:rsidP="00FF5F5C">
      <w:pPr>
        <w:pStyle w:val="PargrafodaLista"/>
        <w:numPr>
          <w:ilvl w:val="1"/>
          <w:numId w:val="17"/>
        </w:numPr>
        <w:spacing w:after="0" w:line="240" w:lineRule="auto"/>
        <w:ind w:left="0" w:firstLine="426"/>
        <w:jc w:val="both"/>
        <w:rPr>
          <w:b/>
        </w:rPr>
      </w:pPr>
      <w:r w:rsidRPr="00CE2D5A">
        <w:t>Uso da ocitocina para os casos de atonia uterina</w:t>
      </w:r>
      <w:r w:rsidR="00583E01">
        <w:t>;</w:t>
      </w:r>
    </w:p>
    <w:p w:rsidR="00912EFE" w:rsidRPr="00CE2D5A" w:rsidRDefault="00912EFE" w:rsidP="00FF5F5C">
      <w:pPr>
        <w:pStyle w:val="PargrafodaLista"/>
        <w:numPr>
          <w:ilvl w:val="1"/>
          <w:numId w:val="17"/>
        </w:numPr>
        <w:spacing w:after="0" w:line="240" w:lineRule="auto"/>
        <w:ind w:left="0" w:firstLine="426"/>
        <w:jc w:val="both"/>
        <w:rPr>
          <w:b/>
        </w:rPr>
      </w:pPr>
      <w:r w:rsidRPr="00CE2D5A">
        <w:t xml:space="preserve">Se o sangramento ocorre em até 3 horas pós-parto, usar o ácido </w:t>
      </w:r>
      <w:proofErr w:type="spellStart"/>
      <w:r w:rsidRPr="00CE2D5A">
        <w:t>tranexâmico</w:t>
      </w:r>
      <w:proofErr w:type="spellEnd"/>
      <w:r>
        <w:t xml:space="preserve">: </w:t>
      </w:r>
      <w:proofErr w:type="spellStart"/>
      <w:r>
        <w:t>Transamin</w:t>
      </w:r>
      <w:r>
        <w:rPr>
          <w:vertAlign w:val="superscript"/>
        </w:rPr>
        <w:t>R</w:t>
      </w:r>
      <w:proofErr w:type="spellEnd"/>
      <w:r w:rsidRPr="00CE2D5A">
        <w:t xml:space="preserve"> 50 </w:t>
      </w:r>
      <w:proofErr w:type="gramStart"/>
      <w:r w:rsidRPr="00CE2D5A">
        <w:t>mg</w:t>
      </w:r>
      <w:proofErr w:type="gramEnd"/>
      <w:r w:rsidRPr="00CE2D5A">
        <w:t>/</w:t>
      </w:r>
      <w:proofErr w:type="spellStart"/>
      <w:r w:rsidRPr="00CE2D5A">
        <w:t>mL</w:t>
      </w:r>
      <w:proofErr w:type="spellEnd"/>
      <w:r w:rsidRPr="00CE2D5A">
        <w:t xml:space="preserve"> (inibe a </w:t>
      </w:r>
      <w:proofErr w:type="spellStart"/>
      <w:r w:rsidRPr="00CE2D5A">
        <w:t>lise</w:t>
      </w:r>
      <w:proofErr w:type="spellEnd"/>
      <w:r w:rsidRPr="00CE2D5A">
        <w:t xml:space="preserve"> do coágulo de fibrina): administrar 1 grama (20 </w:t>
      </w:r>
      <w:proofErr w:type="spellStart"/>
      <w:r w:rsidRPr="00CE2D5A">
        <w:t>mL</w:t>
      </w:r>
      <w:proofErr w:type="spellEnd"/>
      <w:r w:rsidRPr="00CE2D5A">
        <w:t xml:space="preserve">: 4 ampolas de 5 </w:t>
      </w:r>
      <w:proofErr w:type="spellStart"/>
      <w:r w:rsidRPr="00CE2D5A">
        <w:t>mL</w:t>
      </w:r>
      <w:proofErr w:type="spellEnd"/>
      <w:r w:rsidRPr="00CE2D5A">
        <w:t xml:space="preserve"> cada) na velocidade de 1 </w:t>
      </w:r>
      <w:proofErr w:type="spellStart"/>
      <w:r w:rsidRPr="00CE2D5A">
        <w:t>mL</w:t>
      </w:r>
      <w:proofErr w:type="spellEnd"/>
      <w:r w:rsidRPr="00CE2D5A">
        <w:t xml:space="preserve"> (ou 50 mg) por minuto e se não houver resposta, repetir mais 1 grama após 30 minutos (dose máxima total: 2 gramas)</w:t>
      </w:r>
      <w:r w:rsidR="00583E01">
        <w:t>;</w:t>
      </w:r>
    </w:p>
    <w:p w:rsidR="00912EFE" w:rsidRPr="00CE2D5A" w:rsidRDefault="00912EFE" w:rsidP="00FF5F5C">
      <w:pPr>
        <w:pStyle w:val="PargrafodaLista"/>
        <w:numPr>
          <w:ilvl w:val="1"/>
          <w:numId w:val="17"/>
        </w:numPr>
        <w:spacing w:after="0" w:line="240" w:lineRule="auto"/>
        <w:ind w:left="0" w:firstLine="426"/>
        <w:jc w:val="both"/>
        <w:rPr>
          <w:b/>
        </w:rPr>
      </w:pPr>
      <w:r w:rsidRPr="00CE2D5A">
        <w:t xml:space="preserve">Transfusão de </w:t>
      </w:r>
      <w:proofErr w:type="spellStart"/>
      <w:r w:rsidRPr="00CE2D5A">
        <w:t>hemocomponentes</w:t>
      </w:r>
      <w:proofErr w:type="spellEnd"/>
      <w:r w:rsidRPr="00CE2D5A">
        <w:t xml:space="preserve">: concentrado de hemácias (manter </w:t>
      </w:r>
      <w:proofErr w:type="spellStart"/>
      <w:r w:rsidRPr="00CE2D5A">
        <w:t>Hb</w:t>
      </w:r>
      <w:proofErr w:type="spellEnd"/>
      <w:r w:rsidRPr="00CE2D5A">
        <w:t xml:space="preserve"> &gt; 7 mg/</w:t>
      </w:r>
      <w:proofErr w:type="spellStart"/>
      <w:r w:rsidRPr="00CE2D5A">
        <w:t>dL</w:t>
      </w:r>
      <w:proofErr w:type="spellEnd"/>
      <w:r w:rsidRPr="00CE2D5A">
        <w:t>), plasma fresco congelado (manter INR &lt; 1,5) e concentrado de plaquetas (manter plaquetas &gt; 75.000)</w:t>
      </w:r>
      <w:r w:rsidR="00583E01">
        <w:t>;</w:t>
      </w:r>
    </w:p>
    <w:p w:rsidR="00912EFE" w:rsidRPr="00CE2D5A" w:rsidRDefault="00912EFE" w:rsidP="00FF5F5C">
      <w:pPr>
        <w:pStyle w:val="PargrafodaLista"/>
        <w:numPr>
          <w:ilvl w:val="1"/>
          <w:numId w:val="17"/>
        </w:numPr>
        <w:spacing w:after="0" w:line="240" w:lineRule="auto"/>
        <w:ind w:left="0" w:firstLine="426"/>
        <w:jc w:val="both"/>
        <w:rPr>
          <w:b/>
        </w:rPr>
      </w:pPr>
      <w:r w:rsidRPr="00CE2D5A">
        <w:t>Reposição de Fibrinogênio (vide abaixo)</w:t>
      </w:r>
      <w:r w:rsidR="00FF5F5C">
        <w:t>.</w:t>
      </w:r>
    </w:p>
    <w:p w:rsidR="00912EFE" w:rsidRPr="00CE2D5A" w:rsidRDefault="00912EFE" w:rsidP="00FF5F5C">
      <w:pPr>
        <w:spacing w:after="0" w:line="240" w:lineRule="auto"/>
        <w:ind w:left="720"/>
        <w:jc w:val="both"/>
        <w:rPr>
          <w:b/>
        </w:rPr>
      </w:pPr>
    </w:p>
    <w:p w:rsidR="00912EFE" w:rsidRPr="00583E01" w:rsidRDefault="00583E01" w:rsidP="00FF5F5C">
      <w:pPr>
        <w:pStyle w:val="PargrafodaLista"/>
        <w:numPr>
          <w:ilvl w:val="0"/>
          <w:numId w:val="17"/>
        </w:numPr>
        <w:spacing w:after="0" w:line="240" w:lineRule="auto"/>
        <w:ind w:left="360"/>
        <w:jc w:val="both"/>
        <w:rPr>
          <w:b/>
        </w:rPr>
      </w:pPr>
      <w:r w:rsidRPr="00CE2D5A">
        <w:rPr>
          <w:b/>
        </w:rPr>
        <w:t>QUANDO REPOR O FIBRINOGÊNIO</w:t>
      </w:r>
      <w:r w:rsidR="00912EFE" w:rsidRPr="00CE2D5A">
        <w:rPr>
          <w:b/>
        </w:rPr>
        <w:t>?</w:t>
      </w:r>
      <w:r w:rsidR="00912EFE" w:rsidRPr="00CE2D5A">
        <w:t xml:space="preserve"> (</w:t>
      </w:r>
      <w:proofErr w:type="gramStart"/>
      <w:r w:rsidR="00912EFE" w:rsidRPr="00CE2D5A">
        <w:t>mesmo</w:t>
      </w:r>
      <w:proofErr w:type="gramEnd"/>
      <w:r w:rsidR="00912EFE" w:rsidRPr="00CE2D5A">
        <w:t xml:space="preserve"> que o </w:t>
      </w:r>
      <w:proofErr w:type="spellStart"/>
      <w:r w:rsidR="00912EFE" w:rsidRPr="00CE2D5A">
        <w:t>coagulograma</w:t>
      </w:r>
      <w:proofErr w:type="spellEnd"/>
      <w:r w:rsidR="00912EFE" w:rsidRPr="00CE2D5A">
        <w:t xml:space="preserve"> esteja normal)</w:t>
      </w:r>
    </w:p>
    <w:p w:rsidR="00912EFE" w:rsidRPr="00583E01" w:rsidRDefault="00912EFE" w:rsidP="00FF5F5C">
      <w:pPr>
        <w:spacing w:after="0" w:line="240" w:lineRule="auto"/>
        <w:ind w:firstLine="708"/>
        <w:jc w:val="both"/>
      </w:pPr>
      <w:r w:rsidRPr="00F43FFC">
        <w:rPr>
          <w:b/>
        </w:rPr>
        <w:t xml:space="preserve">Repor fibrinogênio quando os níveis plasmáticos estiverem abaixo de 300 mg/L </w:t>
      </w:r>
      <w:r w:rsidRPr="00583E01">
        <w:t xml:space="preserve">conforme </w:t>
      </w:r>
      <w:proofErr w:type="spellStart"/>
      <w:r w:rsidRPr="00F43FFC">
        <w:rPr>
          <w:i/>
        </w:rPr>
        <w:t>Guidelines</w:t>
      </w:r>
      <w:proofErr w:type="spellEnd"/>
      <w:r w:rsidRPr="00F43FFC">
        <w:rPr>
          <w:i/>
        </w:rPr>
        <w:t xml:space="preserve"> do Royal </w:t>
      </w:r>
      <w:proofErr w:type="spellStart"/>
      <w:r w:rsidRPr="00F43FFC">
        <w:rPr>
          <w:i/>
        </w:rPr>
        <w:t>College</w:t>
      </w:r>
      <w:proofErr w:type="spellEnd"/>
      <w:r w:rsidRPr="00F43FFC">
        <w:rPr>
          <w:i/>
        </w:rPr>
        <w:t xml:space="preserve"> </w:t>
      </w:r>
      <w:proofErr w:type="spellStart"/>
      <w:r w:rsidRPr="00F43FFC">
        <w:rPr>
          <w:i/>
        </w:rPr>
        <w:t>of</w:t>
      </w:r>
      <w:proofErr w:type="spellEnd"/>
      <w:r w:rsidRPr="00F43FFC">
        <w:rPr>
          <w:i/>
        </w:rPr>
        <w:t xml:space="preserve"> </w:t>
      </w:r>
      <w:proofErr w:type="spellStart"/>
      <w:r w:rsidRPr="00F43FFC">
        <w:rPr>
          <w:i/>
        </w:rPr>
        <w:t>Obstetricians</w:t>
      </w:r>
      <w:proofErr w:type="spellEnd"/>
      <w:r w:rsidRPr="00F43FFC">
        <w:rPr>
          <w:i/>
        </w:rPr>
        <w:t xml:space="preserve"> </w:t>
      </w:r>
      <w:proofErr w:type="spellStart"/>
      <w:r w:rsidRPr="00F43FFC">
        <w:rPr>
          <w:i/>
        </w:rPr>
        <w:t>and</w:t>
      </w:r>
      <w:proofErr w:type="spellEnd"/>
      <w:r w:rsidRPr="00F43FFC">
        <w:rPr>
          <w:i/>
        </w:rPr>
        <w:t xml:space="preserve"> </w:t>
      </w:r>
      <w:proofErr w:type="spellStart"/>
      <w:r w:rsidRPr="00F43FFC">
        <w:rPr>
          <w:i/>
        </w:rPr>
        <w:t>Gynaecologists</w:t>
      </w:r>
      <w:proofErr w:type="spellEnd"/>
      <w:r w:rsidRPr="00F43FFC">
        <w:rPr>
          <w:i/>
        </w:rPr>
        <w:t xml:space="preserve"> e ainda conforme </w:t>
      </w:r>
      <w:proofErr w:type="spellStart"/>
      <w:r w:rsidRPr="00F43FFC">
        <w:rPr>
          <w:i/>
        </w:rPr>
        <w:t>Guidelines</w:t>
      </w:r>
      <w:proofErr w:type="spellEnd"/>
      <w:r w:rsidRPr="00F43FFC">
        <w:rPr>
          <w:i/>
        </w:rPr>
        <w:t xml:space="preserve"> da </w:t>
      </w:r>
      <w:proofErr w:type="spellStart"/>
      <w:r w:rsidRPr="00F43FFC">
        <w:rPr>
          <w:i/>
        </w:rPr>
        <w:t>Association</w:t>
      </w:r>
      <w:proofErr w:type="spellEnd"/>
      <w:r w:rsidRPr="00F43FFC">
        <w:rPr>
          <w:i/>
        </w:rPr>
        <w:t xml:space="preserve"> </w:t>
      </w:r>
      <w:proofErr w:type="spellStart"/>
      <w:r w:rsidRPr="00F43FFC">
        <w:rPr>
          <w:i/>
        </w:rPr>
        <w:t>of</w:t>
      </w:r>
      <w:proofErr w:type="spellEnd"/>
      <w:r w:rsidRPr="00F43FFC">
        <w:rPr>
          <w:i/>
        </w:rPr>
        <w:t xml:space="preserve"> </w:t>
      </w:r>
      <w:proofErr w:type="spellStart"/>
      <w:r w:rsidRPr="00F43FFC">
        <w:rPr>
          <w:i/>
        </w:rPr>
        <w:t>Anaesthesistis</w:t>
      </w:r>
      <w:proofErr w:type="spellEnd"/>
      <w:r w:rsidRPr="00F43FFC">
        <w:rPr>
          <w:i/>
        </w:rPr>
        <w:t xml:space="preserve"> </w:t>
      </w:r>
      <w:proofErr w:type="spellStart"/>
      <w:r w:rsidRPr="00F43FFC">
        <w:rPr>
          <w:i/>
        </w:rPr>
        <w:t>of</w:t>
      </w:r>
      <w:proofErr w:type="spellEnd"/>
      <w:r w:rsidRPr="00F43FFC">
        <w:rPr>
          <w:i/>
        </w:rPr>
        <w:t xml:space="preserve"> </w:t>
      </w:r>
      <w:proofErr w:type="spellStart"/>
      <w:r w:rsidRPr="00F43FFC">
        <w:rPr>
          <w:i/>
        </w:rPr>
        <w:t>Great</w:t>
      </w:r>
      <w:proofErr w:type="spellEnd"/>
      <w:r w:rsidRPr="00F43FFC">
        <w:rPr>
          <w:i/>
        </w:rPr>
        <w:t xml:space="preserve"> </w:t>
      </w:r>
      <w:proofErr w:type="spellStart"/>
      <w:r w:rsidRPr="00F43FFC">
        <w:rPr>
          <w:i/>
        </w:rPr>
        <w:t>Britain</w:t>
      </w:r>
      <w:proofErr w:type="spellEnd"/>
      <w:r w:rsidRPr="00F43FFC">
        <w:rPr>
          <w:i/>
        </w:rPr>
        <w:t xml:space="preserve"> </w:t>
      </w:r>
      <w:proofErr w:type="spellStart"/>
      <w:r w:rsidRPr="00F43FFC">
        <w:rPr>
          <w:i/>
        </w:rPr>
        <w:t>and</w:t>
      </w:r>
      <w:proofErr w:type="spellEnd"/>
      <w:r w:rsidRPr="00F43FFC">
        <w:rPr>
          <w:i/>
        </w:rPr>
        <w:t xml:space="preserve"> </w:t>
      </w:r>
      <w:proofErr w:type="spellStart"/>
      <w:r w:rsidRPr="00F43FFC">
        <w:rPr>
          <w:i/>
        </w:rPr>
        <w:t>Ireland</w:t>
      </w:r>
      <w:proofErr w:type="spellEnd"/>
      <w:r w:rsidRPr="00F43FFC">
        <w:rPr>
          <w:i/>
        </w:rPr>
        <w:t xml:space="preserve"> (AAGBI).</w:t>
      </w:r>
    </w:p>
    <w:p w:rsidR="00912EFE" w:rsidRPr="00CE2D5A" w:rsidRDefault="00912EFE" w:rsidP="00FF5F5C">
      <w:pPr>
        <w:pStyle w:val="PargrafodaLista"/>
        <w:spacing w:line="240" w:lineRule="auto"/>
        <w:ind w:left="360"/>
        <w:rPr>
          <w:b/>
        </w:rPr>
      </w:pPr>
    </w:p>
    <w:p w:rsidR="00583E01" w:rsidRPr="00583E01" w:rsidRDefault="00583E01" w:rsidP="00FF5F5C">
      <w:pPr>
        <w:pStyle w:val="PargrafodaLista"/>
        <w:numPr>
          <w:ilvl w:val="0"/>
          <w:numId w:val="17"/>
        </w:numPr>
        <w:spacing w:after="0" w:line="240" w:lineRule="auto"/>
        <w:ind w:left="360"/>
        <w:jc w:val="both"/>
        <w:rPr>
          <w:b/>
        </w:rPr>
      </w:pPr>
      <w:r w:rsidRPr="00CE2D5A">
        <w:rPr>
          <w:b/>
        </w:rPr>
        <w:t>QUAL A RECOMENDAÇÃO PARA FORMA DE REPOSIÇÃO?</w:t>
      </w:r>
      <w:r w:rsidRPr="00CE2D5A">
        <w:t xml:space="preserve"> </w:t>
      </w:r>
    </w:p>
    <w:p w:rsidR="00912EFE" w:rsidRPr="00F43FFC" w:rsidRDefault="00912EFE" w:rsidP="00FF5F5C">
      <w:pPr>
        <w:spacing w:after="0" w:line="240" w:lineRule="auto"/>
        <w:ind w:firstLine="708"/>
        <w:jc w:val="both"/>
        <w:rPr>
          <w:b/>
        </w:rPr>
      </w:pPr>
      <w:r w:rsidRPr="00CE2D5A">
        <w:t xml:space="preserve">Como é de preparo rápido, sem precisar descongelar, não precisa de provas cruzadas para sua administração, atinge níveis séricos mais rapidamente, apresenta menor risco de transmissões virais e complicações </w:t>
      </w:r>
      <w:proofErr w:type="spellStart"/>
      <w:r w:rsidRPr="00CE2D5A">
        <w:t>imunomediadas</w:t>
      </w:r>
      <w:proofErr w:type="spellEnd"/>
      <w:r w:rsidRPr="00CE2D5A">
        <w:t xml:space="preserve"> e além do mais, utiliza pequenos volumes para infusão, a recomendação dos </w:t>
      </w:r>
      <w:proofErr w:type="spellStart"/>
      <w:r w:rsidRPr="00CE2D5A">
        <w:t>Guidelines</w:t>
      </w:r>
      <w:proofErr w:type="spellEnd"/>
      <w:r w:rsidRPr="00CE2D5A">
        <w:t xml:space="preserve"> da </w:t>
      </w:r>
      <w:proofErr w:type="spellStart"/>
      <w:r w:rsidRPr="00CE2D5A">
        <w:t>European</w:t>
      </w:r>
      <w:proofErr w:type="spellEnd"/>
      <w:r w:rsidRPr="00CE2D5A">
        <w:t xml:space="preserve"> </w:t>
      </w:r>
      <w:proofErr w:type="spellStart"/>
      <w:r w:rsidRPr="00CE2D5A">
        <w:t>Society</w:t>
      </w:r>
      <w:proofErr w:type="spellEnd"/>
      <w:r w:rsidRPr="00CE2D5A">
        <w:t xml:space="preserve"> </w:t>
      </w:r>
      <w:proofErr w:type="spellStart"/>
      <w:r w:rsidRPr="00CE2D5A">
        <w:t>of</w:t>
      </w:r>
      <w:proofErr w:type="spellEnd"/>
      <w:r w:rsidRPr="00CE2D5A">
        <w:t xml:space="preserve"> </w:t>
      </w:r>
      <w:proofErr w:type="spellStart"/>
      <w:r w:rsidRPr="00CE2D5A">
        <w:t>Anaesthesiology</w:t>
      </w:r>
      <w:proofErr w:type="spellEnd"/>
      <w:r w:rsidRPr="00CE2D5A">
        <w:t xml:space="preserve"> para o manejo do </w:t>
      </w:r>
      <w:proofErr w:type="spellStart"/>
      <w:r w:rsidRPr="00CE2D5A">
        <w:t>sangramamento</w:t>
      </w:r>
      <w:proofErr w:type="spellEnd"/>
      <w:r w:rsidRPr="00CE2D5A">
        <w:t xml:space="preserve"> </w:t>
      </w:r>
      <w:proofErr w:type="spellStart"/>
      <w:r w:rsidRPr="00CE2D5A">
        <w:t>perioperatório</w:t>
      </w:r>
      <w:proofErr w:type="spellEnd"/>
      <w:r w:rsidRPr="00CE2D5A">
        <w:t xml:space="preserve"> grave é que se use</w:t>
      </w:r>
      <w:r w:rsidRPr="00F43FFC">
        <w:rPr>
          <w:b/>
        </w:rPr>
        <w:t xml:space="preserve"> preferencialmente o concentrado industrializado:</w:t>
      </w:r>
      <w:r w:rsidRPr="00CE2D5A">
        <w:t xml:space="preserve"> </w:t>
      </w:r>
      <w:proofErr w:type="spellStart"/>
      <w:r w:rsidRPr="00583E01">
        <w:t>Haemocomplettan</w:t>
      </w:r>
      <w:proofErr w:type="spellEnd"/>
      <w:r w:rsidRPr="00583E01">
        <w:t xml:space="preserve"> P</w:t>
      </w:r>
      <w:r w:rsidRPr="00F43FFC">
        <w:rPr>
          <w:vertAlign w:val="superscript"/>
        </w:rPr>
        <w:t>R</w:t>
      </w:r>
      <w:r w:rsidRPr="00CE2D5A">
        <w:t xml:space="preserve">. Na sua ausência ou em situações específicas pode-se usar também  </w:t>
      </w:r>
      <w:proofErr w:type="spellStart"/>
      <w:r w:rsidRPr="00CE2D5A">
        <w:t>crioprecipitado</w:t>
      </w:r>
      <w:proofErr w:type="spellEnd"/>
      <w:r w:rsidRPr="00CE2D5A">
        <w:t xml:space="preserve"> (contém cerca de 1 g de fibrinogênio em 50 </w:t>
      </w:r>
      <w:proofErr w:type="spellStart"/>
      <w:r w:rsidRPr="00CE2D5A">
        <w:t>mL</w:t>
      </w:r>
      <w:proofErr w:type="spellEnd"/>
      <w:r w:rsidRPr="00CE2D5A">
        <w:t xml:space="preserve">) ou plasma fresco congelado (que contém 0,2 a 0,4 g de fibrinogênio em cada 100 </w:t>
      </w:r>
      <w:proofErr w:type="spellStart"/>
      <w:r w:rsidRPr="00CE2D5A">
        <w:t>mL</w:t>
      </w:r>
      <w:proofErr w:type="spellEnd"/>
      <w:r w:rsidRPr="00CE2D5A">
        <w:t xml:space="preserve"> de plasma).</w:t>
      </w:r>
    </w:p>
    <w:p w:rsidR="00912EFE" w:rsidRPr="00CE2D5A" w:rsidRDefault="00912EFE" w:rsidP="00FF5F5C">
      <w:pPr>
        <w:spacing w:after="0" w:line="240" w:lineRule="auto"/>
        <w:jc w:val="both"/>
        <w:rPr>
          <w:b/>
        </w:rPr>
      </w:pPr>
    </w:p>
    <w:p w:rsidR="00583E01" w:rsidRDefault="00583E01" w:rsidP="00FF5F5C">
      <w:pPr>
        <w:pStyle w:val="PargrafodaLista"/>
        <w:numPr>
          <w:ilvl w:val="0"/>
          <w:numId w:val="17"/>
        </w:numPr>
        <w:spacing w:after="0" w:line="240" w:lineRule="auto"/>
        <w:ind w:left="360"/>
        <w:jc w:val="both"/>
        <w:rPr>
          <w:b/>
        </w:rPr>
      </w:pPr>
      <w:r w:rsidRPr="00CE2D5A">
        <w:rPr>
          <w:b/>
        </w:rPr>
        <w:t xml:space="preserve">NESTAS SITUAÇÕES DE HPP, OCORRE HIPOFIBRINOGENEMIA? </w:t>
      </w:r>
    </w:p>
    <w:p w:rsidR="00912EFE" w:rsidRPr="00F43FFC" w:rsidRDefault="00912EFE" w:rsidP="00FF5F5C">
      <w:pPr>
        <w:spacing w:after="0" w:line="240" w:lineRule="auto"/>
        <w:ind w:firstLine="708"/>
        <w:jc w:val="both"/>
        <w:rPr>
          <w:b/>
        </w:rPr>
      </w:pPr>
      <w:r w:rsidRPr="00CE2D5A">
        <w:t xml:space="preserve">Estudos observacionais descrevem que a </w:t>
      </w:r>
      <w:proofErr w:type="spellStart"/>
      <w:r w:rsidRPr="00CE2D5A">
        <w:t>hipofibrinogenemia</w:t>
      </w:r>
      <w:proofErr w:type="spellEnd"/>
      <w:r w:rsidRPr="00CE2D5A">
        <w:t xml:space="preserve"> adquirida na fase precoce da HPP é um marcador isolado de gravidade para hemorragia, sendo associada a sangramento excessivo e necessidade de transfusão. Nestas situações, </w:t>
      </w:r>
      <w:proofErr w:type="gramStart"/>
      <w:r w:rsidRPr="00CE2D5A">
        <w:t>a reposição de volume colaboram</w:t>
      </w:r>
      <w:proofErr w:type="gramEnd"/>
      <w:r w:rsidRPr="00CE2D5A">
        <w:t xml:space="preserve"> para uma </w:t>
      </w:r>
      <w:proofErr w:type="spellStart"/>
      <w:r w:rsidRPr="00CE2D5A">
        <w:t>hipofibrinogenemia</w:t>
      </w:r>
      <w:proofErr w:type="spellEnd"/>
      <w:r w:rsidRPr="00CE2D5A">
        <w:t xml:space="preserve"> </w:t>
      </w:r>
      <w:proofErr w:type="spellStart"/>
      <w:r w:rsidRPr="00CE2D5A">
        <w:t>dilucional</w:t>
      </w:r>
      <w:proofErr w:type="spellEnd"/>
      <w:r w:rsidRPr="00CE2D5A">
        <w:t>.</w:t>
      </w:r>
      <w:r w:rsidRPr="00F43FFC">
        <w:rPr>
          <w:b/>
        </w:rPr>
        <w:t xml:space="preserve"> </w:t>
      </w:r>
      <w:r w:rsidRPr="00CE2D5A">
        <w:t xml:space="preserve">Além disso, o consumo de fibrinogênio está aumentado nestas situações, decorrente de desprendimento da placenta, </w:t>
      </w:r>
      <w:proofErr w:type="spellStart"/>
      <w:r w:rsidRPr="00CE2D5A">
        <w:t>embolismo</w:t>
      </w:r>
      <w:proofErr w:type="spellEnd"/>
      <w:r w:rsidRPr="00CE2D5A">
        <w:t xml:space="preserve"> do líquido amniótico, feto retido seguido de morte intrauterina e insuficiência hepática aguda gestacional, etc.</w:t>
      </w:r>
    </w:p>
    <w:p w:rsidR="00912EFE" w:rsidRPr="00CE2D5A" w:rsidRDefault="00912EFE" w:rsidP="00FF5F5C">
      <w:pPr>
        <w:pStyle w:val="PargrafodaLista"/>
        <w:spacing w:line="240" w:lineRule="auto"/>
        <w:ind w:left="360"/>
        <w:rPr>
          <w:b/>
        </w:rPr>
      </w:pPr>
    </w:p>
    <w:p w:rsidR="00583E01" w:rsidRDefault="00583E01" w:rsidP="00FF5F5C">
      <w:pPr>
        <w:pStyle w:val="PargrafodaLista"/>
        <w:numPr>
          <w:ilvl w:val="0"/>
          <w:numId w:val="17"/>
        </w:numPr>
        <w:spacing w:after="0" w:line="240" w:lineRule="auto"/>
        <w:ind w:left="360"/>
        <w:jc w:val="both"/>
        <w:rPr>
          <w:b/>
        </w:rPr>
      </w:pPr>
      <w:proofErr w:type="gramStart"/>
      <w:r w:rsidRPr="00CE2D5A">
        <w:rPr>
          <w:b/>
        </w:rPr>
        <w:t>QUAL É</w:t>
      </w:r>
      <w:proofErr w:type="gramEnd"/>
      <w:r w:rsidRPr="00CE2D5A">
        <w:rPr>
          <w:b/>
        </w:rPr>
        <w:t xml:space="preserve"> O NÍVEL PLASMÁTICO MÉDIO DE FIBRINOGÊNIO? </w:t>
      </w:r>
    </w:p>
    <w:p w:rsidR="00912EFE" w:rsidRPr="00F43FFC" w:rsidRDefault="00912EFE" w:rsidP="00FF5F5C">
      <w:pPr>
        <w:spacing w:after="0" w:line="240" w:lineRule="auto"/>
        <w:ind w:firstLine="708"/>
        <w:jc w:val="both"/>
        <w:rPr>
          <w:b/>
        </w:rPr>
      </w:pPr>
      <w:r w:rsidRPr="00CE2D5A">
        <w:t>No terceiro trimestre da gestação está entre 400 – 500 mg/</w:t>
      </w:r>
      <w:proofErr w:type="spellStart"/>
      <w:r w:rsidRPr="00CE2D5A">
        <w:t>dL</w:t>
      </w:r>
      <w:proofErr w:type="spellEnd"/>
      <w:r w:rsidRPr="00CE2D5A">
        <w:t>. No indivíduo saudável varia de 200 a 450 mg/</w:t>
      </w:r>
      <w:proofErr w:type="spellStart"/>
      <w:r w:rsidRPr="00CE2D5A">
        <w:t>dL</w:t>
      </w:r>
      <w:proofErr w:type="spellEnd"/>
      <w:r w:rsidRPr="00CE2D5A">
        <w:t>.</w:t>
      </w:r>
    </w:p>
    <w:p w:rsidR="00912EFE" w:rsidRPr="00CE2D5A" w:rsidRDefault="00912EFE" w:rsidP="00FF5F5C">
      <w:pPr>
        <w:spacing w:after="0" w:line="240" w:lineRule="auto"/>
        <w:jc w:val="both"/>
        <w:rPr>
          <w:b/>
        </w:rPr>
      </w:pPr>
    </w:p>
    <w:p w:rsidR="00912EFE" w:rsidRPr="00CE2D5A" w:rsidRDefault="00583E01" w:rsidP="00FF5F5C">
      <w:pPr>
        <w:pStyle w:val="PargrafodaLista"/>
        <w:numPr>
          <w:ilvl w:val="0"/>
          <w:numId w:val="17"/>
        </w:numPr>
        <w:spacing w:after="0" w:line="240" w:lineRule="auto"/>
        <w:ind w:left="360"/>
        <w:jc w:val="both"/>
        <w:rPr>
          <w:b/>
        </w:rPr>
      </w:pPr>
      <w:r w:rsidRPr="00CE2D5A">
        <w:rPr>
          <w:b/>
        </w:rPr>
        <w:t>COMO USAR O CONC. DE FIBRINOGÊNIO: HAEMOCOMPLETTAN P</w:t>
      </w:r>
      <w:r w:rsidRPr="00CE2D5A">
        <w:rPr>
          <w:b/>
          <w:vertAlign w:val="superscript"/>
        </w:rPr>
        <w:t>R</w:t>
      </w:r>
      <w:r>
        <w:rPr>
          <w:b/>
        </w:rPr>
        <w:t xml:space="preserve"> FRASCO COM PÓ DE 1g?</w:t>
      </w:r>
      <w:r w:rsidRPr="00CE2D5A">
        <w:rPr>
          <w:b/>
        </w:rPr>
        <w:t xml:space="preserve"> </w:t>
      </w:r>
    </w:p>
    <w:p w:rsidR="00912EFE" w:rsidRPr="00CE2D5A" w:rsidRDefault="00912EFE" w:rsidP="00FF5F5C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</w:pPr>
      <w:r w:rsidRPr="00CE2D5A">
        <w:t xml:space="preserve">Diluir cada frasco em 50 ML de AGUA DESTILADA que já vem pronta para </w:t>
      </w:r>
      <w:proofErr w:type="spellStart"/>
      <w:proofErr w:type="gramStart"/>
      <w:r w:rsidRPr="00CE2D5A">
        <w:t>reconstitutir</w:t>
      </w:r>
      <w:proofErr w:type="spellEnd"/>
      <w:r w:rsidRPr="00CE2D5A">
        <w:t xml:space="preserve">  </w:t>
      </w:r>
      <w:r w:rsidR="00583E01">
        <w:rPr>
          <w:b/>
        </w:rPr>
        <w:t>(</w:t>
      </w:r>
      <w:proofErr w:type="gramEnd"/>
      <w:r w:rsidR="00583E01">
        <w:rPr>
          <w:b/>
        </w:rPr>
        <w:t>NÃO DILUIR EM SG OU SF</w:t>
      </w:r>
      <w:r w:rsidRPr="00CE2D5A">
        <w:rPr>
          <w:b/>
        </w:rPr>
        <w:t>!!!)</w:t>
      </w:r>
      <w:r w:rsidR="00583E01" w:rsidRPr="00583E01">
        <w:t>;</w:t>
      </w:r>
    </w:p>
    <w:p w:rsidR="00912EFE" w:rsidRPr="00CE2D5A" w:rsidRDefault="00912EFE" w:rsidP="00FF5F5C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</w:pPr>
      <w:r w:rsidRPr="00CE2D5A">
        <w:t xml:space="preserve">Após a diluição a concentração final será: </w:t>
      </w:r>
      <w:r w:rsidRPr="00CE2D5A">
        <w:rPr>
          <w:b/>
        </w:rPr>
        <w:t>20 mg/</w:t>
      </w:r>
      <w:proofErr w:type="spellStart"/>
      <w:r w:rsidRPr="00CE2D5A">
        <w:rPr>
          <w:b/>
        </w:rPr>
        <w:t>mL</w:t>
      </w:r>
      <w:proofErr w:type="spellEnd"/>
      <w:r w:rsidR="00583E01">
        <w:rPr>
          <w:b/>
        </w:rPr>
        <w:t>;</w:t>
      </w:r>
    </w:p>
    <w:p w:rsidR="00912EFE" w:rsidRPr="00CE2D5A" w:rsidRDefault="00912EFE" w:rsidP="00FF5F5C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</w:pPr>
      <w:r w:rsidRPr="00CE2D5A">
        <w:t xml:space="preserve">Administrar INTRAVENOSO numa velocidade de 5 </w:t>
      </w:r>
      <w:proofErr w:type="spellStart"/>
      <w:r w:rsidRPr="00CE2D5A">
        <w:t>mL</w:t>
      </w:r>
      <w:proofErr w:type="spellEnd"/>
      <w:r w:rsidRPr="00CE2D5A">
        <w:t xml:space="preserve">/minuto (300 </w:t>
      </w:r>
      <w:proofErr w:type="spellStart"/>
      <w:r w:rsidRPr="00CE2D5A">
        <w:t>mL</w:t>
      </w:r>
      <w:proofErr w:type="spellEnd"/>
      <w:r w:rsidRPr="00CE2D5A">
        <w:t xml:space="preserve">/hora ou 100 gotas/minuto ou 1 </w:t>
      </w:r>
      <w:proofErr w:type="spellStart"/>
      <w:r w:rsidRPr="00CE2D5A">
        <w:t>fr</w:t>
      </w:r>
      <w:proofErr w:type="spellEnd"/>
      <w:r w:rsidRPr="00CE2D5A">
        <w:t xml:space="preserve"> = 50 </w:t>
      </w:r>
      <w:proofErr w:type="spellStart"/>
      <w:r w:rsidRPr="00CE2D5A">
        <w:t>mL</w:t>
      </w:r>
      <w:proofErr w:type="spellEnd"/>
      <w:r w:rsidRPr="00CE2D5A">
        <w:t xml:space="preserve"> gotejando em 10 minutos)</w:t>
      </w:r>
      <w:r w:rsidR="00583E01">
        <w:t>;</w:t>
      </w:r>
    </w:p>
    <w:p w:rsidR="00912EFE" w:rsidRPr="00CE2D5A" w:rsidRDefault="00912EFE" w:rsidP="00FF5F5C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</w:pPr>
      <w:r w:rsidRPr="00CE2D5A">
        <w:t xml:space="preserve">Prescrever uma </w:t>
      </w:r>
      <w:r w:rsidRPr="00CE2D5A">
        <w:rPr>
          <w:b/>
        </w:rPr>
        <w:t>dose inicial de 1 a 2 gramas</w:t>
      </w:r>
      <w:r w:rsidRPr="00CE2D5A">
        <w:t xml:space="preserve"> por indivíduo e avaliar o sangramento (pode-se fazer o cálculo pelo peso usando o frasco </w:t>
      </w:r>
      <w:proofErr w:type="spellStart"/>
      <w:r w:rsidRPr="00CE2D5A">
        <w:t>rescons</w:t>
      </w:r>
      <w:r>
        <w:t>tituído</w:t>
      </w:r>
      <w:proofErr w:type="spellEnd"/>
      <w:r>
        <w:t xml:space="preserve"> na concentração 20 mg/</w:t>
      </w:r>
      <w:proofErr w:type="spellStart"/>
      <w:r>
        <w:t>mL</w:t>
      </w:r>
      <w:proofErr w:type="spellEnd"/>
      <w:r w:rsidRPr="00CE2D5A">
        <w:t>: a dose neste caso será 25 a 50 mg/kg)</w:t>
      </w:r>
      <w:r w:rsidR="00583E01">
        <w:t>;</w:t>
      </w:r>
    </w:p>
    <w:p w:rsidR="00912EFE" w:rsidRPr="00CE2D5A" w:rsidRDefault="00912EFE" w:rsidP="00FF5F5C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</w:pPr>
      <w:r w:rsidRPr="00CE2D5A">
        <w:t xml:space="preserve">Em casos graves como DPP (descolamento prematuro de placenta), podem ser necessárias doses tão altas </w:t>
      </w:r>
      <w:r w:rsidR="00583E01">
        <w:t>como 4 a 8 gramas por indivíduo;</w:t>
      </w:r>
    </w:p>
    <w:p w:rsidR="00912EFE" w:rsidRPr="00CE2D5A" w:rsidRDefault="00912EFE" w:rsidP="00FF5F5C">
      <w:pPr>
        <w:pStyle w:val="PargrafodaLista"/>
        <w:numPr>
          <w:ilvl w:val="0"/>
          <w:numId w:val="19"/>
        </w:numPr>
        <w:spacing w:after="0" w:line="240" w:lineRule="auto"/>
        <w:ind w:left="0" w:firstLine="426"/>
        <w:jc w:val="both"/>
      </w:pPr>
      <w:r w:rsidRPr="00CE2D5A">
        <w:t>Em caso de uso do segundo frasco, solicitar ao responsável pela farmácia, que providencie mais do</w:t>
      </w:r>
      <w:r w:rsidR="00583E01">
        <w:t>is ou três frascos com urgência.</w:t>
      </w:r>
    </w:p>
    <w:p w:rsidR="00912EFE" w:rsidRPr="00CE2D5A" w:rsidRDefault="00912EFE" w:rsidP="00FF5F5C">
      <w:pPr>
        <w:pStyle w:val="PargrafodaLista"/>
        <w:spacing w:after="0" w:line="240" w:lineRule="auto"/>
        <w:jc w:val="both"/>
      </w:pPr>
    </w:p>
    <w:p w:rsidR="00912EFE" w:rsidRPr="00F43FFC" w:rsidRDefault="00583E01" w:rsidP="00FF5F5C">
      <w:pPr>
        <w:pStyle w:val="PargrafodaLista"/>
        <w:numPr>
          <w:ilvl w:val="0"/>
          <w:numId w:val="17"/>
        </w:numPr>
        <w:spacing w:after="0" w:line="240" w:lineRule="auto"/>
        <w:ind w:left="360"/>
        <w:jc w:val="both"/>
        <w:rPr>
          <w:b/>
        </w:rPr>
      </w:pPr>
      <w:r w:rsidRPr="00F43FFC">
        <w:rPr>
          <w:b/>
        </w:rPr>
        <w:t>APÓS ESTABILIZAR, MANTER O PACIENTE MONITORIZADO E SOLICITAR VAGA EM UTI, MESMO QUE MELHORE CLINICAMENTE, COM CONTROLE GASOMÉTRICO E VIGIANDO HIPOCALCEMIA SECUNDÁRIA. MANTER O FIBRINOGÊNIO ACIMA DE 200 MG/DL.</w:t>
      </w:r>
    </w:p>
    <w:p w:rsidR="00912EFE" w:rsidRPr="00CE2D5A" w:rsidRDefault="00912EFE" w:rsidP="00FF5F5C">
      <w:pPr>
        <w:spacing w:after="0" w:line="240" w:lineRule="auto"/>
        <w:jc w:val="both"/>
      </w:pPr>
    </w:p>
    <w:p w:rsidR="00912EFE" w:rsidRPr="00583E01" w:rsidRDefault="00583E01" w:rsidP="00583E01">
      <w:pPr>
        <w:spacing w:before="240" w:after="0" w:line="240" w:lineRule="auto"/>
        <w:jc w:val="both"/>
        <w:rPr>
          <w:rFonts w:cstheme="minorHAnsi"/>
          <w:b/>
        </w:rPr>
      </w:pPr>
      <w:r w:rsidRPr="004410E9">
        <w:rPr>
          <w:rFonts w:cstheme="minorHAnsi"/>
          <w:b/>
        </w:rPr>
        <w:t>REFERÊNCIAS BIBLIOGRÁFICAS</w:t>
      </w:r>
    </w:p>
    <w:p w:rsidR="00912EFE" w:rsidRPr="00583E01" w:rsidRDefault="00912EFE" w:rsidP="00583E01">
      <w:pPr>
        <w:spacing w:after="0"/>
        <w:ind w:left="-142" w:firstLine="502"/>
        <w:jc w:val="both"/>
        <w:rPr>
          <w:sz w:val="20"/>
          <w:szCs w:val="16"/>
        </w:rPr>
      </w:pPr>
      <w:r w:rsidRPr="00583E01">
        <w:rPr>
          <w:sz w:val="20"/>
          <w:szCs w:val="16"/>
        </w:rPr>
        <w:t xml:space="preserve">Saúde OMS. Recomendações da OMS para a Prevenção e Tratamento da Hemorragia Pós-Parto. 2014. </w:t>
      </w:r>
    </w:p>
    <w:p w:rsidR="00912EFE" w:rsidRPr="00583E01" w:rsidRDefault="00912EFE" w:rsidP="00583E01">
      <w:pPr>
        <w:pStyle w:val="PargrafodaLista"/>
        <w:spacing w:after="0"/>
        <w:ind w:left="-142" w:firstLine="502"/>
        <w:jc w:val="both"/>
        <w:rPr>
          <w:sz w:val="20"/>
          <w:szCs w:val="16"/>
        </w:rPr>
      </w:pPr>
      <w:proofErr w:type="spellStart"/>
      <w:proofErr w:type="gramStart"/>
      <w:r w:rsidRPr="00583E01">
        <w:rPr>
          <w:sz w:val="20"/>
          <w:szCs w:val="16"/>
        </w:rPr>
        <w:t>Anesthesiologists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ASo</w:t>
      </w:r>
      <w:proofErr w:type="spellEnd"/>
      <w:proofErr w:type="gramEnd"/>
      <w:r w:rsidRPr="00583E01">
        <w:rPr>
          <w:sz w:val="20"/>
          <w:szCs w:val="16"/>
        </w:rPr>
        <w:t xml:space="preserve">. </w:t>
      </w:r>
      <w:proofErr w:type="spellStart"/>
      <w:r w:rsidRPr="00583E01">
        <w:rPr>
          <w:sz w:val="20"/>
          <w:szCs w:val="16"/>
        </w:rPr>
        <w:t>Practice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guidelines</w:t>
      </w:r>
      <w:proofErr w:type="spellEnd"/>
      <w:r w:rsidRPr="00583E01">
        <w:rPr>
          <w:sz w:val="20"/>
          <w:szCs w:val="16"/>
        </w:rPr>
        <w:t xml:space="preserve"> for </w:t>
      </w:r>
      <w:proofErr w:type="spellStart"/>
      <w:r w:rsidRPr="00583E01">
        <w:rPr>
          <w:sz w:val="20"/>
          <w:szCs w:val="16"/>
        </w:rPr>
        <w:t>perioperative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blood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transfusion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and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adjuvant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therapies</w:t>
      </w:r>
      <w:proofErr w:type="spellEnd"/>
      <w:r w:rsidRPr="00583E01">
        <w:rPr>
          <w:sz w:val="20"/>
          <w:szCs w:val="16"/>
        </w:rPr>
        <w:t xml:space="preserve">: </w:t>
      </w:r>
      <w:proofErr w:type="spellStart"/>
      <w:r w:rsidRPr="00583E01">
        <w:rPr>
          <w:sz w:val="20"/>
          <w:szCs w:val="16"/>
        </w:rPr>
        <w:t>an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updated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report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by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the</w:t>
      </w:r>
      <w:proofErr w:type="spellEnd"/>
      <w:r w:rsidRPr="00583E01">
        <w:rPr>
          <w:sz w:val="20"/>
          <w:szCs w:val="16"/>
        </w:rPr>
        <w:t xml:space="preserve"> American </w:t>
      </w:r>
      <w:proofErr w:type="spellStart"/>
      <w:r w:rsidRPr="00583E01">
        <w:rPr>
          <w:sz w:val="20"/>
          <w:szCs w:val="16"/>
        </w:rPr>
        <w:t>Society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of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Anesthesiologists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Task</w:t>
      </w:r>
      <w:proofErr w:type="spellEnd"/>
      <w:r w:rsidRPr="00583E01">
        <w:rPr>
          <w:sz w:val="20"/>
          <w:szCs w:val="16"/>
        </w:rPr>
        <w:t xml:space="preserve"> Force </w:t>
      </w:r>
      <w:proofErr w:type="spellStart"/>
      <w:r w:rsidRPr="00583E01">
        <w:rPr>
          <w:sz w:val="20"/>
          <w:szCs w:val="16"/>
        </w:rPr>
        <w:t>on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Perioperative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Blood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Transfusion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and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Adjuvant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Therapies</w:t>
      </w:r>
      <w:proofErr w:type="spellEnd"/>
      <w:r w:rsidRPr="00583E01">
        <w:rPr>
          <w:sz w:val="20"/>
          <w:szCs w:val="16"/>
        </w:rPr>
        <w:t xml:space="preserve">. </w:t>
      </w:r>
      <w:proofErr w:type="spellStart"/>
      <w:r w:rsidRPr="00583E01">
        <w:rPr>
          <w:sz w:val="20"/>
          <w:szCs w:val="16"/>
        </w:rPr>
        <w:t>Anesthesiology</w:t>
      </w:r>
      <w:proofErr w:type="spellEnd"/>
      <w:r w:rsidRPr="00583E01">
        <w:rPr>
          <w:sz w:val="20"/>
          <w:szCs w:val="16"/>
        </w:rPr>
        <w:t>. 2006;105(1):198-208.</w:t>
      </w:r>
    </w:p>
    <w:p w:rsidR="00912EFE" w:rsidRPr="00583E01" w:rsidRDefault="00912EFE" w:rsidP="00583E01">
      <w:pPr>
        <w:pStyle w:val="PargrafodaLista"/>
        <w:spacing w:after="0"/>
        <w:ind w:left="-142" w:firstLine="502"/>
        <w:jc w:val="both"/>
        <w:rPr>
          <w:sz w:val="20"/>
          <w:szCs w:val="16"/>
        </w:rPr>
      </w:pPr>
      <w:proofErr w:type="spellStart"/>
      <w:r w:rsidRPr="00583E01">
        <w:rPr>
          <w:sz w:val="20"/>
          <w:szCs w:val="16"/>
        </w:rPr>
        <w:t>Haemocomplettan</w:t>
      </w:r>
      <w:proofErr w:type="spellEnd"/>
      <w:r w:rsidRPr="00583E01">
        <w:rPr>
          <w:sz w:val="20"/>
          <w:szCs w:val="16"/>
        </w:rPr>
        <w:t xml:space="preserve">® P - Texto Bula Disponível em: http://labeling.cslbehring.com/pi/br/Haemocomplettan®-p/pt/Haemocomplettan®-p-bula-paciente.pdf. Acesso em 29/09/2017. </w:t>
      </w:r>
    </w:p>
    <w:p w:rsidR="00912EFE" w:rsidRPr="00583E01" w:rsidRDefault="00912EFE" w:rsidP="00583E01">
      <w:pPr>
        <w:pStyle w:val="PargrafodaLista"/>
        <w:spacing w:after="0"/>
        <w:ind w:left="-142" w:firstLine="502"/>
        <w:jc w:val="both"/>
        <w:rPr>
          <w:sz w:val="20"/>
          <w:szCs w:val="16"/>
        </w:rPr>
      </w:pPr>
      <w:r w:rsidRPr="00583E01">
        <w:rPr>
          <w:sz w:val="20"/>
          <w:szCs w:val="16"/>
        </w:rPr>
        <w:t xml:space="preserve">Protocolo de tratamento da Hemorragia </w:t>
      </w:r>
      <w:proofErr w:type="gramStart"/>
      <w:r w:rsidRPr="00583E01">
        <w:rPr>
          <w:sz w:val="20"/>
          <w:szCs w:val="16"/>
        </w:rPr>
        <w:t>Pós – Parto</w:t>
      </w:r>
      <w:proofErr w:type="gramEnd"/>
      <w:r w:rsidRPr="00583E01">
        <w:rPr>
          <w:sz w:val="20"/>
          <w:szCs w:val="16"/>
        </w:rPr>
        <w:t xml:space="preserve"> do American Congresso </w:t>
      </w:r>
      <w:proofErr w:type="spellStart"/>
      <w:r w:rsidRPr="00583E01">
        <w:rPr>
          <w:sz w:val="20"/>
          <w:szCs w:val="16"/>
        </w:rPr>
        <w:t>of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Obstetricians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and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Gynecologists</w:t>
      </w:r>
      <w:proofErr w:type="spellEnd"/>
      <w:r w:rsidRPr="00583E01">
        <w:rPr>
          <w:sz w:val="20"/>
          <w:szCs w:val="16"/>
        </w:rPr>
        <w:t xml:space="preserve">, obtido em file:///C:/Users/Lenovo/Documents/Stream/Evidencias/CSL%20Boehringer/Hemocomplettan/Papers/Obstetrici a/ACOG%20_%20HEMPosterManagingMaternalHEM.pdf </w:t>
      </w:r>
    </w:p>
    <w:p w:rsidR="00912EFE" w:rsidRPr="00583E01" w:rsidRDefault="00912EFE" w:rsidP="00583E01">
      <w:pPr>
        <w:pStyle w:val="PargrafodaLista"/>
        <w:spacing w:after="0"/>
        <w:ind w:left="-142" w:firstLine="502"/>
        <w:jc w:val="both"/>
        <w:rPr>
          <w:sz w:val="20"/>
          <w:szCs w:val="16"/>
        </w:rPr>
      </w:pPr>
      <w:r w:rsidRPr="00583E01">
        <w:rPr>
          <w:sz w:val="20"/>
          <w:szCs w:val="16"/>
        </w:rPr>
        <w:t xml:space="preserve">Protocolo de tratamento da Hemorragia pós Parto do Royal </w:t>
      </w:r>
      <w:proofErr w:type="spellStart"/>
      <w:r w:rsidRPr="00583E01">
        <w:rPr>
          <w:sz w:val="20"/>
          <w:szCs w:val="16"/>
        </w:rPr>
        <w:t>College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of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Obstetricians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and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proofErr w:type="gramStart"/>
      <w:r w:rsidRPr="00583E01">
        <w:rPr>
          <w:sz w:val="20"/>
          <w:szCs w:val="16"/>
        </w:rPr>
        <w:t>Gynaecologists</w:t>
      </w:r>
      <w:proofErr w:type="spellEnd"/>
      <w:r w:rsidRPr="00583E01">
        <w:rPr>
          <w:sz w:val="20"/>
          <w:szCs w:val="16"/>
        </w:rPr>
        <w:t xml:space="preserve">  -</w:t>
      </w:r>
      <w:proofErr w:type="gram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Mavrides</w:t>
      </w:r>
      <w:proofErr w:type="spellEnd"/>
      <w:r w:rsidRPr="00583E01">
        <w:rPr>
          <w:sz w:val="20"/>
          <w:szCs w:val="16"/>
        </w:rPr>
        <w:t xml:space="preserve"> E, </w:t>
      </w:r>
      <w:proofErr w:type="spellStart"/>
      <w:r w:rsidRPr="00583E01">
        <w:rPr>
          <w:sz w:val="20"/>
          <w:szCs w:val="16"/>
        </w:rPr>
        <w:t>Allard</w:t>
      </w:r>
      <w:proofErr w:type="spellEnd"/>
      <w:r w:rsidRPr="00583E01">
        <w:rPr>
          <w:sz w:val="20"/>
          <w:szCs w:val="16"/>
        </w:rPr>
        <w:t xml:space="preserve"> S, </w:t>
      </w:r>
      <w:proofErr w:type="spellStart"/>
      <w:r w:rsidRPr="00583E01">
        <w:rPr>
          <w:sz w:val="20"/>
          <w:szCs w:val="16"/>
        </w:rPr>
        <w:t>Chandraharan</w:t>
      </w:r>
      <w:proofErr w:type="spellEnd"/>
      <w:r w:rsidRPr="00583E01">
        <w:rPr>
          <w:sz w:val="20"/>
          <w:szCs w:val="16"/>
        </w:rPr>
        <w:t xml:space="preserve"> E, Collins P, Green L, Hunt BJ, </w:t>
      </w:r>
      <w:proofErr w:type="spellStart"/>
      <w:r w:rsidRPr="00583E01">
        <w:rPr>
          <w:sz w:val="20"/>
          <w:szCs w:val="16"/>
        </w:rPr>
        <w:t>Riris</w:t>
      </w:r>
      <w:proofErr w:type="spellEnd"/>
      <w:r w:rsidRPr="00583E01">
        <w:rPr>
          <w:sz w:val="20"/>
          <w:szCs w:val="16"/>
        </w:rPr>
        <w:t xml:space="preserve"> S, Thomson AJ </w:t>
      </w:r>
      <w:proofErr w:type="spellStart"/>
      <w:r w:rsidRPr="00583E01">
        <w:rPr>
          <w:sz w:val="20"/>
          <w:szCs w:val="16"/>
        </w:rPr>
        <w:t>on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behalf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of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the</w:t>
      </w:r>
      <w:proofErr w:type="spellEnd"/>
      <w:r w:rsidRPr="00583E01">
        <w:rPr>
          <w:sz w:val="20"/>
          <w:szCs w:val="16"/>
        </w:rPr>
        <w:t xml:space="preserve"> Royal </w:t>
      </w:r>
      <w:proofErr w:type="spellStart"/>
      <w:r w:rsidRPr="00583E01">
        <w:rPr>
          <w:sz w:val="20"/>
          <w:szCs w:val="16"/>
        </w:rPr>
        <w:t>College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of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Physicians</w:t>
      </w:r>
      <w:proofErr w:type="spellEnd"/>
      <w:r w:rsidRPr="00583E01">
        <w:rPr>
          <w:sz w:val="20"/>
          <w:szCs w:val="16"/>
        </w:rPr>
        <w:t xml:space="preserve">. </w:t>
      </w:r>
      <w:proofErr w:type="spellStart"/>
      <w:r w:rsidRPr="00583E01">
        <w:rPr>
          <w:sz w:val="20"/>
          <w:szCs w:val="16"/>
        </w:rPr>
        <w:t>Prevention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and</w:t>
      </w:r>
      <w:proofErr w:type="spellEnd"/>
      <w:r w:rsidRPr="00583E01">
        <w:rPr>
          <w:sz w:val="20"/>
          <w:szCs w:val="16"/>
        </w:rPr>
        <w:t xml:space="preserve"> management </w:t>
      </w:r>
      <w:proofErr w:type="spellStart"/>
      <w:r w:rsidRPr="00583E01">
        <w:rPr>
          <w:sz w:val="20"/>
          <w:szCs w:val="16"/>
        </w:rPr>
        <w:t>of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postpartum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haemorrhage</w:t>
      </w:r>
      <w:proofErr w:type="spellEnd"/>
      <w:r w:rsidRPr="00583E01">
        <w:rPr>
          <w:sz w:val="20"/>
          <w:szCs w:val="16"/>
        </w:rPr>
        <w:t>. BJOG 2016; DOI: .10.1111/ 1471-0528.14178.</w:t>
      </w:r>
    </w:p>
    <w:p w:rsidR="00912EFE" w:rsidRPr="00583E01" w:rsidRDefault="00912EFE" w:rsidP="00583E01">
      <w:pPr>
        <w:pStyle w:val="PargrafodaLista"/>
        <w:spacing w:after="0"/>
        <w:ind w:left="-142" w:firstLine="502"/>
        <w:jc w:val="both"/>
        <w:rPr>
          <w:sz w:val="20"/>
          <w:szCs w:val="16"/>
        </w:rPr>
      </w:pPr>
      <w:r w:rsidRPr="00583E01">
        <w:rPr>
          <w:sz w:val="20"/>
          <w:szCs w:val="16"/>
        </w:rPr>
        <w:t xml:space="preserve"> Klein, AA, Arnold, P, </w:t>
      </w:r>
      <w:proofErr w:type="spellStart"/>
      <w:r w:rsidRPr="00583E01">
        <w:rPr>
          <w:sz w:val="20"/>
          <w:szCs w:val="16"/>
        </w:rPr>
        <w:t>Bingham</w:t>
      </w:r>
      <w:proofErr w:type="spellEnd"/>
      <w:r w:rsidRPr="00583E01">
        <w:rPr>
          <w:sz w:val="20"/>
          <w:szCs w:val="16"/>
        </w:rPr>
        <w:t xml:space="preserve">, RM, </w:t>
      </w:r>
      <w:proofErr w:type="spellStart"/>
      <w:r w:rsidRPr="00583E01">
        <w:rPr>
          <w:sz w:val="20"/>
          <w:szCs w:val="16"/>
        </w:rPr>
        <w:t>Brohi</w:t>
      </w:r>
      <w:proofErr w:type="spellEnd"/>
      <w:r w:rsidRPr="00583E01">
        <w:rPr>
          <w:sz w:val="20"/>
          <w:szCs w:val="16"/>
        </w:rPr>
        <w:t xml:space="preserve">, K, et al. AAGBI </w:t>
      </w:r>
      <w:proofErr w:type="spellStart"/>
      <w:r w:rsidRPr="00583E01">
        <w:rPr>
          <w:sz w:val="20"/>
          <w:szCs w:val="16"/>
        </w:rPr>
        <w:t>guidelines</w:t>
      </w:r>
      <w:proofErr w:type="spellEnd"/>
      <w:r w:rsidRPr="00583E01">
        <w:rPr>
          <w:sz w:val="20"/>
          <w:szCs w:val="16"/>
        </w:rPr>
        <w:t xml:space="preserve">: </w:t>
      </w:r>
      <w:proofErr w:type="spellStart"/>
      <w:r w:rsidRPr="00583E01">
        <w:rPr>
          <w:sz w:val="20"/>
          <w:szCs w:val="16"/>
        </w:rPr>
        <w:t>the</w:t>
      </w:r>
      <w:proofErr w:type="spellEnd"/>
      <w:r w:rsidRPr="00583E01">
        <w:rPr>
          <w:sz w:val="20"/>
          <w:szCs w:val="16"/>
        </w:rPr>
        <w:t xml:space="preserve"> use </w:t>
      </w:r>
      <w:proofErr w:type="spellStart"/>
      <w:r w:rsidRPr="00583E01">
        <w:rPr>
          <w:sz w:val="20"/>
          <w:szCs w:val="16"/>
        </w:rPr>
        <w:t>of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blood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components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and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their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alternatives</w:t>
      </w:r>
      <w:proofErr w:type="spellEnd"/>
      <w:r w:rsidRPr="00583E01">
        <w:rPr>
          <w:sz w:val="20"/>
          <w:szCs w:val="16"/>
        </w:rPr>
        <w:t xml:space="preserve"> 2016. </w:t>
      </w:r>
      <w:proofErr w:type="spellStart"/>
      <w:r w:rsidRPr="00583E01">
        <w:rPr>
          <w:sz w:val="20"/>
          <w:szCs w:val="16"/>
        </w:rPr>
        <w:t>Anaesthesia</w:t>
      </w:r>
      <w:proofErr w:type="spellEnd"/>
      <w:r w:rsidRPr="00583E01">
        <w:rPr>
          <w:sz w:val="20"/>
          <w:szCs w:val="16"/>
        </w:rPr>
        <w:t xml:space="preserve"> 2016, 71, 829–842.</w:t>
      </w:r>
    </w:p>
    <w:p w:rsidR="00912EFE" w:rsidRPr="00583E01" w:rsidRDefault="00912EFE" w:rsidP="00583E01">
      <w:pPr>
        <w:pStyle w:val="PargrafodaLista"/>
        <w:spacing w:after="0"/>
        <w:ind w:left="-142" w:firstLine="502"/>
        <w:jc w:val="both"/>
        <w:rPr>
          <w:sz w:val="20"/>
          <w:szCs w:val="16"/>
        </w:rPr>
      </w:pPr>
      <w:proofErr w:type="spellStart"/>
      <w:r w:rsidRPr="00583E01">
        <w:rPr>
          <w:sz w:val="20"/>
          <w:szCs w:val="16"/>
        </w:rPr>
        <w:t>Chandraharan</w:t>
      </w:r>
      <w:proofErr w:type="spellEnd"/>
      <w:r w:rsidRPr="00583E01">
        <w:rPr>
          <w:sz w:val="20"/>
          <w:szCs w:val="16"/>
        </w:rPr>
        <w:t xml:space="preserve"> E. </w:t>
      </w:r>
      <w:proofErr w:type="spellStart"/>
      <w:r w:rsidRPr="00583E01">
        <w:rPr>
          <w:sz w:val="20"/>
          <w:szCs w:val="16"/>
        </w:rPr>
        <w:t>Diagnosis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and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managemente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of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postpartum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haemorrhage</w:t>
      </w:r>
      <w:proofErr w:type="spellEnd"/>
      <w:r w:rsidRPr="00583E01">
        <w:rPr>
          <w:sz w:val="20"/>
          <w:szCs w:val="16"/>
        </w:rPr>
        <w:t>. BMJ 2017 (27):358.</w:t>
      </w:r>
    </w:p>
    <w:p w:rsidR="00912EFE" w:rsidRPr="00583E01" w:rsidRDefault="00912EFE" w:rsidP="00583E01">
      <w:pPr>
        <w:pStyle w:val="PargrafodaLista"/>
        <w:spacing w:after="0"/>
        <w:ind w:left="-142" w:firstLine="502"/>
        <w:jc w:val="both"/>
        <w:rPr>
          <w:sz w:val="20"/>
          <w:szCs w:val="16"/>
        </w:rPr>
      </w:pPr>
      <w:proofErr w:type="spellStart"/>
      <w:r w:rsidRPr="00583E01">
        <w:rPr>
          <w:sz w:val="20"/>
          <w:szCs w:val="16"/>
        </w:rPr>
        <w:lastRenderedPageBreak/>
        <w:t>Kosek-Langenecker</w:t>
      </w:r>
      <w:proofErr w:type="spellEnd"/>
      <w:r w:rsidRPr="00583E01">
        <w:rPr>
          <w:sz w:val="20"/>
          <w:szCs w:val="16"/>
        </w:rPr>
        <w:t xml:space="preserve">, SA et al. Management </w:t>
      </w:r>
      <w:proofErr w:type="spellStart"/>
      <w:r w:rsidRPr="00583E01">
        <w:rPr>
          <w:sz w:val="20"/>
          <w:szCs w:val="16"/>
        </w:rPr>
        <w:t>of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severe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perioperative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bleeding</w:t>
      </w:r>
      <w:proofErr w:type="spellEnd"/>
      <w:r w:rsidRPr="00583E01">
        <w:rPr>
          <w:sz w:val="20"/>
          <w:szCs w:val="16"/>
        </w:rPr>
        <w:t xml:space="preserve">: </w:t>
      </w:r>
      <w:proofErr w:type="spellStart"/>
      <w:r w:rsidRPr="00583E01">
        <w:rPr>
          <w:sz w:val="20"/>
          <w:szCs w:val="16"/>
        </w:rPr>
        <w:t>guidelines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from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the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European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Society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of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Anaesthesiology</w:t>
      </w:r>
      <w:proofErr w:type="spellEnd"/>
      <w:r w:rsidRPr="00583E01">
        <w:rPr>
          <w:sz w:val="20"/>
          <w:szCs w:val="16"/>
        </w:rPr>
        <w:t xml:space="preserve">. </w:t>
      </w:r>
      <w:proofErr w:type="spellStart"/>
      <w:r w:rsidRPr="00583E01">
        <w:rPr>
          <w:sz w:val="20"/>
          <w:szCs w:val="16"/>
        </w:rPr>
        <w:t>Eur</w:t>
      </w:r>
      <w:proofErr w:type="spellEnd"/>
      <w:r w:rsidRPr="00583E01">
        <w:rPr>
          <w:sz w:val="20"/>
          <w:szCs w:val="16"/>
        </w:rPr>
        <w:t xml:space="preserve"> J </w:t>
      </w:r>
      <w:proofErr w:type="spellStart"/>
      <w:r w:rsidRPr="00583E01">
        <w:rPr>
          <w:sz w:val="20"/>
          <w:szCs w:val="16"/>
        </w:rPr>
        <w:t>Anaesthesiol</w:t>
      </w:r>
      <w:proofErr w:type="spellEnd"/>
      <w:r w:rsidRPr="00583E01">
        <w:rPr>
          <w:sz w:val="20"/>
          <w:szCs w:val="16"/>
        </w:rPr>
        <w:t xml:space="preserve"> </w:t>
      </w:r>
      <w:proofErr w:type="gramStart"/>
      <w:r w:rsidRPr="00583E01">
        <w:rPr>
          <w:sz w:val="20"/>
          <w:szCs w:val="16"/>
        </w:rPr>
        <w:t>2017;34:332</w:t>
      </w:r>
      <w:proofErr w:type="gramEnd"/>
      <w:r w:rsidRPr="00583E01">
        <w:rPr>
          <w:sz w:val="20"/>
          <w:szCs w:val="16"/>
        </w:rPr>
        <w:t>-395</w:t>
      </w:r>
    </w:p>
    <w:p w:rsidR="00912EFE" w:rsidRPr="00583E01" w:rsidRDefault="00912EFE" w:rsidP="00583E01">
      <w:pPr>
        <w:pStyle w:val="PargrafodaLista"/>
        <w:spacing w:after="0"/>
        <w:ind w:left="-142" w:firstLine="502"/>
        <w:jc w:val="both"/>
        <w:rPr>
          <w:sz w:val="20"/>
          <w:szCs w:val="16"/>
        </w:rPr>
      </w:pPr>
      <w:r w:rsidRPr="00583E01">
        <w:rPr>
          <w:sz w:val="20"/>
          <w:szCs w:val="16"/>
        </w:rPr>
        <w:t xml:space="preserve">WOMAN </w:t>
      </w:r>
      <w:proofErr w:type="spellStart"/>
      <w:r w:rsidRPr="00583E01">
        <w:rPr>
          <w:sz w:val="20"/>
          <w:szCs w:val="16"/>
        </w:rPr>
        <w:t>Trial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Collaborators</w:t>
      </w:r>
      <w:proofErr w:type="spellEnd"/>
      <w:r w:rsidRPr="00583E01">
        <w:rPr>
          <w:sz w:val="20"/>
          <w:szCs w:val="16"/>
        </w:rPr>
        <w:t xml:space="preserve">. </w:t>
      </w:r>
      <w:proofErr w:type="spellStart"/>
      <w:r w:rsidRPr="00583E01">
        <w:rPr>
          <w:sz w:val="20"/>
          <w:szCs w:val="16"/>
        </w:rPr>
        <w:t>Effect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of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early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tranexamic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acid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administration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on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mortality</w:t>
      </w:r>
      <w:proofErr w:type="spellEnd"/>
      <w:r w:rsidRPr="00583E01">
        <w:rPr>
          <w:sz w:val="20"/>
          <w:szCs w:val="16"/>
        </w:rPr>
        <w:t xml:space="preserve">, </w:t>
      </w:r>
      <w:proofErr w:type="spellStart"/>
      <w:r w:rsidRPr="00583E01">
        <w:rPr>
          <w:sz w:val="20"/>
          <w:szCs w:val="16"/>
        </w:rPr>
        <w:t>hysterectomy</w:t>
      </w:r>
      <w:proofErr w:type="spellEnd"/>
      <w:r w:rsidRPr="00583E01">
        <w:rPr>
          <w:sz w:val="20"/>
          <w:szCs w:val="16"/>
        </w:rPr>
        <w:t xml:space="preserve">, </w:t>
      </w:r>
      <w:proofErr w:type="spellStart"/>
      <w:r w:rsidRPr="00583E01">
        <w:rPr>
          <w:sz w:val="20"/>
          <w:szCs w:val="16"/>
        </w:rPr>
        <w:t>and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other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morbidities</w:t>
      </w:r>
      <w:proofErr w:type="spellEnd"/>
      <w:r w:rsidRPr="00583E01">
        <w:rPr>
          <w:sz w:val="20"/>
          <w:szCs w:val="16"/>
        </w:rPr>
        <w:t xml:space="preserve"> in </w:t>
      </w:r>
      <w:proofErr w:type="spellStart"/>
      <w:r w:rsidRPr="00583E01">
        <w:rPr>
          <w:sz w:val="20"/>
          <w:szCs w:val="16"/>
        </w:rPr>
        <w:t>women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with</w:t>
      </w:r>
      <w:proofErr w:type="spellEnd"/>
      <w:r w:rsidRPr="00583E01">
        <w:rPr>
          <w:sz w:val="20"/>
          <w:szCs w:val="16"/>
        </w:rPr>
        <w:t xml:space="preserve"> post-</w:t>
      </w:r>
      <w:proofErr w:type="spellStart"/>
      <w:r w:rsidRPr="00583E01">
        <w:rPr>
          <w:sz w:val="20"/>
          <w:szCs w:val="16"/>
        </w:rPr>
        <w:t>partum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haemorrhage</w:t>
      </w:r>
      <w:proofErr w:type="spellEnd"/>
      <w:r w:rsidRPr="00583E01">
        <w:rPr>
          <w:sz w:val="20"/>
          <w:szCs w:val="16"/>
        </w:rPr>
        <w:t xml:space="preserve">: a </w:t>
      </w:r>
      <w:proofErr w:type="spellStart"/>
      <w:r w:rsidRPr="00583E01">
        <w:rPr>
          <w:sz w:val="20"/>
          <w:szCs w:val="16"/>
        </w:rPr>
        <w:t>international</w:t>
      </w:r>
      <w:proofErr w:type="spellEnd"/>
      <w:r w:rsidRPr="00583E01">
        <w:rPr>
          <w:sz w:val="20"/>
          <w:szCs w:val="16"/>
        </w:rPr>
        <w:t xml:space="preserve">, </w:t>
      </w:r>
      <w:proofErr w:type="spellStart"/>
      <w:r w:rsidRPr="00583E01">
        <w:rPr>
          <w:sz w:val="20"/>
          <w:szCs w:val="16"/>
        </w:rPr>
        <w:t>randomised</w:t>
      </w:r>
      <w:proofErr w:type="spellEnd"/>
      <w:r w:rsidRPr="00583E01">
        <w:rPr>
          <w:sz w:val="20"/>
          <w:szCs w:val="16"/>
        </w:rPr>
        <w:t xml:space="preserve">, </w:t>
      </w:r>
      <w:proofErr w:type="spellStart"/>
      <w:r w:rsidRPr="00583E01">
        <w:rPr>
          <w:sz w:val="20"/>
          <w:szCs w:val="16"/>
        </w:rPr>
        <w:t>double-blind</w:t>
      </w:r>
      <w:proofErr w:type="spellEnd"/>
      <w:r w:rsidRPr="00583E01">
        <w:rPr>
          <w:sz w:val="20"/>
          <w:szCs w:val="16"/>
        </w:rPr>
        <w:t>, placebo-</w:t>
      </w:r>
      <w:proofErr w:type="spellStart"/>
      <w:r w:rsidRPr="00583E01">
        <w:rPr>
          <w:sz w:val="20"/>
          <w:szCs w:val="16"/>
        </w:rPr>
        <w:t>controlled</w:t>
      </w:r>
      <w:proofErr w:type="spellEnd"/>
      <w:r w:rsidRPr="00583E01">
        <w:rPr>
          <w:sz w:val="20"/>
          <w:szCs w:val="16"/>
        </w:rPr>
        <w:t xml:space="preserve"> </w:t>
      </w:r>
      <w:proofErr w:type="spellStart"/>
      <w:r w:rsidRPr="00583E01">
        <w:rPr>
          <w:sz w:val="20"/>
          <w:szCs w:val="16"/>
        </w:rPr>
        <w:t>trial</w:t>
      </w:r>
      <w:proofErr w:type="spellEnd"/>
      <w:r w:rsidRPr="00583E01">
        <w:rPr>
          <w:sz w:val="20"/>
          <w:szCs w:val="16"/>
        </w:rPr>
        <w:t>. Lancet 2017 (27</w:t>
      </w:r>
      <w:proofErr w:type="gramStart"/>
      <w:r w:rsidRPr="00583E01">
        <w:rPr>
          <w:sz w:val="20"/>
          <w:szCs w:val="16"/>
        </w:rPr>
        <w:t>);389:2105</w:t>
      </w:r>
      <w:proofErr w:type="gramEnd"/>
      <w:r w:rsidRPr="00583E01">
        <w:rPr>
          <w:sz w:val="20"/>
          <w:szCs w:val="16"/>
        </w:rPr>
        <w:t>-2116.</w:t>
      </w:r>
    </w:p>
    <w:p w:rsidR="004410E9" w:rsidRDefault="004410E9" w:rsidP="004410E9">
      <w:pPr>
        <w:spacing w:after="0" w:line="240" w:lineRule="auto"/>
        <w:jc w:val="both"/>
        <w:rPr>
          <w:rFonts w:cstheme="minorHAnsi"/>
          <w:b/>
        </w:rPr>
      </w:pPr>
    </w:p>
    <w:p w:rsidR="004410E9" w:rsidRDefault="004410E9" w:rsidP="004410E9">
      <w:pPr>
        <w:spacing w:before="240" w:line="240" w:lineRule="auto"/>
        <w:jc w:val="both"/>
        <w:rPr>
          <w:rFonts w:cstheme="minorHAnsi"/>
          <w:b/>
        </w:rPr>
      </w:pPr>
    </w:p>
    <w:p w:rsidR="001257D0" w:rsidRDefault="001257D0" w:rsidP="001257D0">
      <w:pPr>
        <w:spacing w:after="0" w:line="240" w:lineRule="auto"/>
        <w:ind w:right="-1"/>
        <w:jc w:val="both"/>
        <w:rPr>
          <w:sz w:val="24"/>
          <w:szCs w:val="24"/>
        </w:rPr>
      </w:pPr>
    </w:p>
    <w:p w:rsidR="001257D0" w:rsidRDefault="001257D0" w:rsidP="001257D0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257D0" w:rsidRPr="003A52FB" w:rsidTr="001B0506">
        <w:trPr>
          <w:trHeight w:val="136"/>
        </w:trPr>
        <w:tc>
          <w:tcPr>
            <w:tcW w:w="2268" w:type="dxa"/>
            <w:shd w:val="clear" w:color="auto" w:fill="D9D9D9"/>
          </w:tcPr>
          <w:p w:rsidR="001257D0" w:rsidRPr="002F1CC4" w:rsidRDefault="001257D0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:rsidR="001257D0" w:rsidRPr="002F1CC4" w:rsidRDefault="001257D0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:rsidR="001257D0" w:rsidRPr="002F1CC4" w:rsidRDefault="001257D0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:rsidR="001257D0" w:rsidRPr="002F1CC4" w:rsidRDefault="001257D0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1257D0" w:rsidRPr="003A52FB" w:rsidTr="001B0506">
        <w:trPr>
          <w:trHeight w:val="958"/>
        </w:trPr>
        <w:tc>
          <w:tcPr>
            <w:tcW w:w="2268" w:type="dxa"/>
          </w:tcPr>
          <w:p w:rsidR="001257D0" w:rsidRDefault="001257D0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257D0" w:rsidRPr="00BB17D3" w:rsidRDefault="001257D0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:rsidR="001257D0" w:rsidRPr="00BB17D3" w:rsidRDefault="001257D0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:rsidR="001257D0" w:rsidRDefault="001257D0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257D0" w:rsidRPr="00BB17D3" w:rsidRDefault="001257D0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:rsidR="001257D0" w:rsidRPr="00BB17D3" w:rsidRDefault="001257D0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:rsidR="001257D0" w:rsidRDefault="001257D0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257D0" w:rsidRPr="00BB17D3" w:rsidRDefault="001257D0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ERCÍLIO BARBOSA R. JR</w:t>
            </w:r>
          </w:p>
          <w:p w:rsidR="001257D0" w:rsidRPr="00BB17D3" w:rsidRDefault="001874A1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Coord. </w:t>
            </w:r>
            <w:proofErr w:type="spellStart"/>
            <w:r>
              <w:rPr>
                <w:rFonts w:cs="Arial"/>
                <w:sz w:val="18"/>
                <w:szCs w:val="18"/>
              </w:rPr>
              <w:t>Anestesiologia</w:t>
            </w:r>
            <w:proofErr w:type="spellEnd"/>
          </w:p>
        </w:tc>
        <w:tc>
          <w:tcPr>
            <w:tcW w:w="2268" w:type="dxa"/>
          </w:tcPr>
          <w:p w:rsidR="001257D0" w:rsidRDefault="001257D0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</w:p>
          <w:p w:rsidR="001257D0" w:rsidRPr="00BB17D3" w:rsidRDefault="001257D0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 xml:space="preserve">ULLY MARIANNE F. LEMOS </w:t>
            </w:r>
          </w:p>
          <w:p w:rsidR="001257D0" w:rsidRPr="00BB17D3" w:rsidRDefault="001257D0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Coord. </w:t>
            </w:r>
            <w:r w:rsidRPr="00BB17D3">
              <w:rPr>
                <w:sz w:val="18"/>
                <w:szCs w:val="18"/>
              </w:rPr>
              <w:t>da Qualidade</w:t>
            </w:r>
          </w:p>
        </w:tc>
      </w:tr>
      <w:tr w:rsidR="001257D0" w:rsidRPr="003A52FB" w:rsidTr="001B050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:rsidR="001257D0" w:rsidRPr="002F1CC4" w:rsidRDefault="001257D0" w:rsidP="001257D0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01/03/2019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257D0" w:rsidRPr="002F1CC4" w:rsidRDefault="001257D0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 15/04/2024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257D0" w:rsidRPr="002F1CC4" w:rsidRDefault="001257D0" w:rsidP="001257D0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16/04</w:t>
            </w:r>
            <w:r>
              <w:rPr>
                <w:b/>
                <w:sz w:val="18"/>
                <w:szCs w:val="18"/>
              </w:rPr>
              <w:t>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257D0" w:rsidRPr="002F1CC4" w:rsidRDefault="001257D0" w:rsidP="001257D0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17/04</w:t>
            </w:r>
            <w:r>
              <w:rPr>
                <w:b/>
                <w:sz w:val="18"/>
                <w:szCs w:val="18"/>
              </w:rPr>
              <w:t>/2024</w:t>
            </w:r>
          </w:p>
        </w:tc>
      </w:tr>
      <w:tr w:rsidR="001257D0" w:rsidRPr="003A52FB" w:rsidTr="001B050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:rsidR="001257D0" w:rsidRDefault="001257D0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:rsidR="001257D0" w:rsidRPr="002F1CC4" w:rsidRDefault="001257D0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1990445" wp14:editId="664582D0">
                  <wp:extent cx="1313805" cy="427990"/>
                  <wp:effectExtent l="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40" cy="43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</w:t>
            </w:r>
            <w:r w:rsidR="001874A1"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185062" cy="649033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r Ercilio 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163" cy="66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</w:t>
            </w:r>
            <w:r w:rsidR="001874A1"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EABF416" wp14:editId="15BFC87C">
                  <wp:extent cx="1134777" cy="71056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4" cy="71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7D0" w:rsidRDefault="001257D0" w:rsidP="001257D0">
      <w:pPr>
        <w:spacing w:after="0" w:line="240" w:lineRule="auto"/>
        <w:ind w:right="-1"/>
        <w:jc w:val="both"/>
        <w:rPr>
          <w:sz w:val="24"/>
          <w:szCs w:val="24"/>
        </w:rPr>
      </w:pPr>
    </w:p>
    <w:p w:rsidR="001257D0" w:rsidRPr="007250FD" w:rsidRDefault="001257D0" w:rsidP="001257D0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1257D0" w:rsidRPr="00AB0CB4" w:rsidTr="001B050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1257D0" w:rsidRPr="007250FD" w:rsidRDefault="001257D0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1257D0" w:rsidRPr="007250FD" w:rsidRDefault="001257D0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1257D0" w:rsidRPr="007250FD" w:rsidRDefault="001257D0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1257D0" w:rsidRPr="00AB0CB4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1257D0" w:rsidRPr="008505FB" w:rsidRDefault="001257D0" w:rsidP="001B050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:rsidR="001257D0" w:rsidRPr="00065B5C" w:rsidRDefault="001257D0" w:rsidP="001257D0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Ajuste conforme </w:t>
            </w:r>
            <w:r>
              <w:rPr>
                <w:rFonts w:cstheme="minorHAnsi"/>
              </w:rPr>
              <w:t>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57D0" w:rsidRPr="00065B5C" w:rsidRDefault="001257D0" w:rsidP="001257D0">
            <w:pPr>
              <w:rPr>
                <w:rFonts w:cstheme="minorHAnsi"/>
              </w:rPr>
            </w:pPr>
            <w:r>
              <w:rPr>
                <w:rFonts w:cstheme="minorHAnsi"/>
              </w:rPr>
              <w:t>15/04/2024</w:t>
            </w:r>
          </w:p>
        </w:tc>
      </w:tr>
      <w:tr w:rsidR="001257D0" w:rsidRPr="00AB0CB4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1257D0" w:rsidRPr="008505FB" w:rsidRDefault="001257D0" w:rsidP="001B050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:rsidR="001257D0" w:rsidRPr="00065B5C" w:rsidRDefault="001257D0" w:rsidP="001B0506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257D0" w:rsidRPr="00065B5C" w:rsidRDefault="001257D0" w:rsidP="001B0506">
            <w:pPr>
              <w:rPr>
                <w:rFonts w:cstheme="minorHAnsi"/>
                <w:szCs w:val="20"/>
              </w:rPr>
            </w:pPr>
          </w:p>
        </w:tc>
      </w:tr>
    </w:tbl>
    <w:p w:rsidR="001257D0" w:rsidRDefault="001257D0" w:rsidP="001257D0"/>
    <w:p w:rsidR="001257D0" w:rsidRDefault="001257D0" w:rsidP="004410E9">
      <w:pPr>
        <w:spacing w:before="240" w:line="240" w:lineRule="auto"/>
        <w:jc w:val="both"/>
        <w:rPr>
          <w:rFonts w:cstheme="minorHAnsi"/>
          <w:b/>
        </w:rPr>
      </w:pPr>
    </w:p>
    <w:p w:rsidR="001257D0" w:rsidRPr="001257D0" w:rsidRDefault="001257D0" w:rsidP="001257D0">
      <w:pPr>
        <w:rPr>
          <w:rFonts w:cstheme="minorHAnsi"/>
        </w:rPr>
      </w:pPr>
    </w:p>
    <w:p w:rsidR="001257D0" w:rsidRPr="001257D0" w:rsidRDefault="001257D0" w:rsidP="001257D0">
      <w:pPr>
        <w:rPr>
          <w:rFonts w:cstheme="minorHAnsi"/>
        </w:rPr>
      </w:pPr>
      <w:bookmarkStart w:id="0" w:name="_GoBack"/>
      <w:bookmarkEnd w:id="0"/>
    </w:p>
    <w:sectPr w:rsidR="001257D0" w:rsidRPr="001257D0" w:rsidSect="00844482">
      <w:headerReference w:type="default" r:id="rId11"/>
      <w:pgSz w:w="11906" w:h="16838"/>
      <w:pgMar w:top="1701" w:right="1134" w:bottom="1134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7D" w:rsidRDefault="00CC667D" w:rsidP="00790F11">
      <w:pPr>
        <w:spacing w:after="0" w:line="240" w:lineRule="auto"/>
      </w:pPr>
      <w:r>
        <w:separator/>
      </w:r>
    </w:p>
  </w:endnote>
  <w:endnote w:type="continuationSeparator" w:id="0">
    <w:p w:rsidR="00CC667D" w:rsidRDefault="00CC667D" w:rsidP="0079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7D" w:rsidRDefault="00CC667D" w:rsidP="00790F11">
      <w:pPr>
        <w:spacing w:after="0" w:line="240" w:lineRule="auto"/>
      </w:pPr>
      <w:r>
        <w:separator/>
      </w:r>
    </w:p>
  </w:footnote>
  <w:footnote w:type="continuationSeparator" w:id="0">
    <w:p w:rsidR="00CC667D" w:rsidRDefault="00CC667D" w:rsidP="0079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352"/>
    </w:tblGrid>
    <w:tr w:rsidR="00790F11" w:rsidRPr="003A52FB" w:rsidTr="00844482">
      <w:trPr>
        <w:trHeight w:val="97"/>
      </w:trPr>
      <w:tc>
        <w:tcPr>
          <w:tcW w:w="1211" w:type="dxa"/>
          <w:vMerge w:val="restart"/>
        </w:tcPr>
        <w:p w:rsidR="00790F11" w:rsidRPr="003A52FB" w:rsidRDefault="001257D0" w:rsidP="00790F11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-44526</wp:posOffset>
                </wp:positionH>
                <wp:positionV relativeFrom="paragraph">
                  <wp:posOffset>2540</wp:posOffset>
                </wp:positionV>
                <wp:extent cx="782726" cy="782726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726" cy="782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:rsidR="00790F11" w:rsidRPr="00FC13DE" w:rsidRDefault="00790F11" w:rsidP="00790F11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  <w:r w:rsidRPr="00FC13DE">
            <w:rPr>
              <w:rFonts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:rsidR="00790F11" w:rsidRPr="0099390C" w:rsidRDefault="00790F11" w:rsidP="00790F11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99390C">
            <w:rPr>
              <w:rFonts w:cs="Arial"/>
              <w:sz w:val="18"/>
              <w:szCs w:val="18"/>
            </w:rPr>
            <w:t xml:space="preserve"> </w:t>
          </w:r>
          <w:r w:rsidRPr="0099390C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352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546112280"/>
            <w:docPartObj>
              <w:docPartGallery w:val="Page Numbers (Top of Page)"/>
              <w:docPartUnique/>
            </w:docPartObj>
          </w:sdtPr>
          <w:sdtEndPr/>
          <w:sdtContent>
            <w:p w:rsidR="00790F11" w:rsidRPr="0099390C" w:rsidRDefault="00790F11" w:rsidP="00790F11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790F11" w:rsidRPr="003A52FB" w:rsidTr="00844482">
      <w:trPr>
        <w:trHeight w:val="183"/>
      </w:trPr>
      <w:tc>
        <w:tcPr>
          <w:tcW w:w="1211" w:type="dxa"/>
          <w:vMerge/>
        </w:tcPr>
        <w:p w:rsidR="00790F11" w:rsidRPr="003A52FB" w:rsidRDefault="00790F11" w:rsidP="00790F11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:rsidR="00790F11" w:rsidRPr="00FC13DE" w:rsidRDefault="00790F11" w:rsidP="00790F11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:rsidR="00790F11" w:rsidRPr="001050F1" w:rsidRDefault="00790F11" w:rsidP="00FF5F5C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</w:t>
          </w:r>
          <w:r w:rsidRPr="001050F1">
            <w:rPr>
              <w:rFonts w:cs="Arial"/>
            </w:rPr>
            <w:t>.</w:t>
          </w:r>
          <w:r w:rsidR="00904556">
            <w:rPr>
              <w:rFonts w:cs="Arial"/>
            </w:rPr>
            <w:t>D</w:t>
          </w:r>
          <w:r w:rsidR="00FF5F5C">
            <w:rPr>
              <w:rFonts w:cs="Arial"/>
            </w:rPr>
            <w:t>T</w:t>
          </w:r>
          <w:r w:rsidR="00912EFE">
            <w:rPr>
              <w:rFonts w:cs="Arial"/>
            </w:rPr>
            <w:t>.0</w:t>
          </w:r>
          <w:r w:rsidR="00FF5F5C">
            <w:rPr>
              <w:rFonts w:cs="Arial"/>
            </w:rPr>
            <w:t>07</w:t>
          </w:r>
        </w:p>
      </w:tc>
      <w:tc>
        <w:tcPr>
          <w:tcW w:w="1352" w:type="dxa"/>
        </w:tcPr>
        <w:p w:rsidR="00790F11" w:rsidRPr="0099390C" w:rsidRDefault="00790F11" w:rsidP="00790F11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713526">
            <w:rPr>
              <w:bCs/>
              <w:noProof/>
            </w:rPr>
            <w:t>2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713526">
            <w:rPr>
              <w:bCs/>
              <w:noProof/>
            </w:rPr>
            <w:t>3</w:t>
          </w:r>
          <w:r w:rsidRPr="0099390C">
            <w:rPr>
              <w:bCs/>
            </w:rPr>
            <w:fldChar w:fldCharType="end"/>
          </w:r>
        </w:p>
      </w:tc>
    </w:tr>
    <w:tr w:rsidR="00790F11" w:rsidRPr="003A52FB" w:rsidTr="00844482">
      <w:trPr>
        <w:trHeight w:val="123"/>
      </w:trPr>
      <w:tc>
        <w:tcPr>
          <w:tcW w:w="1211" w:type="dxa"/>
          <w:vMerge/>
        </w:tcPr>
        <w:p w:rsidR="00790F11" w:rsidRPr="003A52FB" w:rsidRDefault="00790F11" w:rsidP="00790F11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:rsidR="00790F11" w:rsidRPr="001050F1" w:rsidRDefault="00FF5F5C" w:rsidP="00912EFE">
          <w:pPr>
            <w:pStyle w:val="Cabealho"/>
            <w:jc w:val="center"/>
            <w:rPr>
              <w:rFonts w:cs="Arial"/>
              <w:sz w:val="24"/>
              <w:szCs w:val="24"/>
            </w:rPr>
          </w:pPr>
          <w:r w:rsidRPr="00912EFE">
            <w:rPr>
              <w:rFonts w:cs="Arial"/>
              <w:sz w:val="24"/>
              <w:szCs w:val="24"/>
            </w:rPr>
            <w:t>H</w:t>
          </w:r>
          <w:r>
            <w:rPr>
              <w:rFonts w:cs="Arial"/>
              <w:sz w:val="24"/>
              <w:szCs w:val="24"/>
            </w:rPr>
            <w:t xml:space="preserve">AEMOCOMPLETTAN </w:t>
          </w:r>
          <w:r w:rsidRPr="00583E01">
            <w:rPr>
              <w:sz w:val="20"/>
            </w:rPr>
            <w:t xml:space="preserve"> </w:t>
          </w:r>
          <w:r w:rsidRPr="00583E01">
            <w:rPr>
              <w:rFonts w:cs="Arial"/>
              <w:szCs w:val="24"/>
            </w:rPr>
            <w:t>P</w:t>
          </w:r>
          <w:r w:rsidRPr="00583E01">
            <w:rPr>
              <w:rFonts w:cs="Arial"/>
              <w:szCs w:val="24"/>
              <w:vertAlign w:val="superscript"/>
            </w:rPr>
            <w:t>R</w:t>
          </w:r>
        </w:p>
      </w:tc>
      <w:tc>
        <w:tcPr>
          <w:tcW w:w="2298" w:type="dxa"/>
          <w:shd w:val="clear" w:color="auto" w:fill="D9D9D9"/>
        </w:tcPr>
        <w:p w:rsidR="00790F11" w:rsidRPr="0099390C" w:rsidRDefault="00790F11" w:rsidP="00790F11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99390C">
            <w:rPr>
              <w:rFonts w:cs="Arial"/>
              <w:b/>
              <w:sz w:val="18"/>
              <w:szCs w:val="18"/>
            </w:rPr>
            <w:t>Especialidade</w:t>
          </w:r>
        </w:p>
      </w:tc>
      <w:tc>
        <w:tcPr>
          <w:tcW w:w="1352" w:type="dxa"/>
          <w:shd w:val="clear" w:color="auto" w:fill="D9D9D9"/>
        </w:tcPr>
        <w:p w:rsidR="00790F11" w:rsidRPr="0099390C" w:rsidRDefault="00790F11" w:rsidP="00790F11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99390C">
            <w:rPr>
              <w:rFonts w:cs="Arial"/>
              <w:b/>
              <w:sz w:val="18"/>
              <w:szCs w:val="18"/>
            </w:rPr>
            <w:t>Revisão</w:t>
          </w:r>
        </w:p>
      </w:tc>
    </w:tr>
    <w:tr w:rsidR="00790F11" w:rsidRPr="003A52FB" w:rsidTr="00844482">
      <w:trPr>
        <w:trHeight w:val="239"/>
      </w:trPr>
      <w:tc>
        <w:tcPr>
          <w:tcW w:w="1211" w:type="dxa"/>
          <w:vMerge/>
        </w:tcPr>
        <w:p w:rsidR="00790F11" w:rsidRPr="003A52FB" w:rsidRDefault="00790F11" w:rsidP="00790F11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:rsidR="00790F11" w:rsidRPr="003A52FB" w:rsidRDefault="00790F11" w:rsidP="00790F11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:rsidR="00FF5F5C" w:rsidRPr="00DD7D40" w:rsidRDefault="00904556" w:rsidP="00FF5F5C">
          <w:pPr>
            <w:pStyle w:val="Cabealho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Direção </w:t>
          </w:r>
          <w:r w:rsidR="00FF5F5C">
            <w:rPr>
              <w:rFonts w:cs="Arial"/>
              <w:sz w:val="20"/>
            </w:rPr>
            <w:t>Técnica</w:t>
          </w:r>
        </w:p>
      </w:tc>
      <w:tc>
        <w:tcPr>
          <w:tcW w:w="1352" w:type="dxa"/>
          <w:vAlign w:val="center"/>
        </w:tcPr>
        <w:p w:rsidR="00790F11" w:rsidRPr="0099390C" w:rsidRDefault="001257D0" w:rsidP="00790F11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1</w:t>
          </w:r>
        </w:p>
      </w:tc>
    </w:tr>
  </w:tbl>
  <w:p w:rsidR="00790F11" w:rsidRDefault="00790F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777"/>
    <w:multiLevelType w:val="hybridMultilevel"/>
    <w:tmpl w:val="5CE64A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125"/>
    <w:multiLevelType w:val="hybridMultilevel"/>
    <w:tmpl w:val="17DA6D28"/>
    <w:lvl w:ilvl="0" w:tplc="75A0183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0525E3"/>
    <w:multiLevelType w:val="hybridMultilevel"/>
    <w:tmpl w:val="325A3496"/>
    <w:lvl w:ilvl="0" w:tplc="32C4D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3C19"/>
    <w:multiLevelType w:val="hybridMultilevel"/>
    <w:tmpl w:val="EF3205A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23AFB"/>
    <w:multiLevelType w:val="hybridMultilevel"/>
    <w:tmpl w:val="DB4A6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320F"/>
    <w:multiLevelType w:val="hybridMultilevel"/>
    <w:tmpl w:val="338C0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C1D47"/>
    <w:multiLevelType w:val="hybridMultilevel"/>
    <w:tmpl w:val="B6C06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F1DE5"/>
    <w:multiLevelType w:val="hybridMultilevel"/>
    <w:tmpl w:val="1EF040B6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378B05D5"/>
    <w:multiLevelType w:val="hybridMultilevel"/>
    <w:tmpl w:val="EAB22E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D41AD"/>
    <w:multiLevelType w:val="hybridMultilevel"/>
    <w:tmpl w:val="8A9E4D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F2C57"/>
    <w:multiLevelType w:val="hybridMultilevel"/>
    <w:tmpl w:val="83D61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666A"/>
    <w:multiLevelType w:val="hybridMultilevel"/>
    <w:tmpl w:val="BB9E19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F40D8"/>
    <w:multiLevelType w:val="hybridMultilevel"/>
    <w:tmpl w:val="219A57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00FA1"/>
    <w:multiLevelType w:val="hybridMultilevel"/>
    <w:tmpl w:val="AB403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A72F0"/>
    <w:multiLevelType w:val="hybridMultilevel"/>
    <w:tmpl w:val="E1BA1C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431A7"/>
    <w:multiLevelType w:val="hybridMultilevel"/>
    <w:tmpl w:val="79483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D5517"/>
    <w:multiLevelType w:val="hybridMultilevel"/>
    <w:tmpl w:val="580AF8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F03CA"/>
    <w:multiLevelType w:val="multilevel"/>
    <w:tmpl w:val="FF96CA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26473A"/>
    <w:multiLevelType w:val="hybridMultilevel"/>
    <w:tmpl w:val="99140E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A7611"/>
    <w:multiLevelType w:val="hybridMultilevel"/>
    <w:tmpl w:val="48683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4"/>
  </w:num>
  <w:num w:numId="5">
    <w:abstractNumId w:val="0"/>
  </w:num>
  <w:num w:numId="6">
    <w:abstractNumId w:val="3"/>
  </w:num>
  <w:num w:numId="7">
    <w:abstractNumId w:val="2"/>
  </w:num>
  <w:num w:numId="8">
    <w:abstractNumId w:val="18"/>
  </w:num>
  <w:num w:numId="9">
    <w:abstractNumId w:val="12"/>
  </w:num>
  <w:num w:numId="10">
    <w:abstractNumId w:val="17"/>
  </w:num>
  <w:num w:numId="11">
    <w:abstractNumId w:val="15"/>
  </w:num>
  <w:num w:numId="12">
    <w:abstractNumId w:val="4"/>
  </w:num>
  <w:num w:numId="13">
    <w:abstractNumId w:val="13"/>
  </w:num>
  <w:num w:numId="14">
    <w:abstractNumId w:val="19"/>
  </w:num>
  <w:num w:numId="15">
    <w:abstractNumId w:val="5"/>
  </w:num>
  <w:num w:numId="16">
    <w:abstractNumId w:val="6"/>
  </w:num>
  <w:num w:numId="17">
    <w:abstractNumId w:val="1"/>
  </w:num>
  <w:num w:numId="18">
    <w:abstractNumId w:val="8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11"/>
    <w:rsid w:val="00045CCF"/>
    <w:rsid w:val="00092659"/>
    <w:rsid w:val="001257D0"/>
    <w:rsid w:val="00173D69"/>
    <w:rsid w:val="001874A1"/>
    <w:rsid w:val="001D0040"/>
    <w:rsid w:val="004410E9"/>
    <w:rsid w:val="00567464"/>
    <w:rsid w:val="00583E01"/>
    <w:rsid w:val="0059006C"/>
    <w:rsid w:val="00646F17"/>
    <w:rsid w:val="006A20BD"/>
    <w:rsid w:val="006F19CC"/>
    <w:rsid w:val="00713526"/>
    <w:rsid w:val="00790F11"/>
    <w:rsid w:val="00813405"/>
    <w:rsid w:val="00844482"/>
    <w:rsid w:val="00904556"/>
    <w:rsid w:val="00912EFE"/>
    <w:rsid w:val="009B49E6"/>
    <w:rsid w:val="00A15F1D"/>
    <w:rsid w:val="00A62E81"/>
    <w:rsid w:val="00AB4164"/>
    <w:rsid w:val="00B068C1"/>
    <w:rsid w:val="00C46D31"/>
    <w:rsid w:val="00C57912"/>
    <w:rsid w:val="00CC667D"/>
    <w:rsid w:val="00D334AB"/>
    <w:rsid w:val="00D55D16"/>
    <w:rsid w:val="00EB5D6E"/>
    <w:rsid w:val="00F43FFC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3DCD52"/>
  <w15:docId w15:val="{5B4A001D-5BA2-473F-8A9F-F5B7EC1D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0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F11"/>
  </w:style>
  <w:style w:type="paragraph" w:styleId="Rodap">
    <w:name w:val="footer"/>
    <w:basedOn w:val="Normal"/>
    <w:link w:val="RodapChar"/>
    <w:uiPriority w:val="99"/>
    <w:unhideWhenUsed/>
    <w:rsid w:val="00790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F11"/>
  </w:style>
  <w:style w:type="paragraph" w:styleId="PargrafodaLista">
    <w:name w:val="List Paragraph"/>
    <w:basedOn w:val="Normal"/>
    <w:uiPriority w:val="34"/>
    <w:qFormat/>
    <w:rsid w:val="00EB5D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10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4204-97C3-4EA9-94FD-A89EB680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CCIH</dc:creator>
  <cp:lastModifiedBy>Viviane Oliveira de Sousa Correia</cp:lastModifiedBy>
  <cp:revision>3</cp:revision>
  <dcterms:created xsi:type="dcterms:W3CDTF">2024-04-15T13:10:00Z</dcterms:created>
  <dcterms:modified xsi:type="dcterms:W3CDTF">2024-04-15T13:10:00Z</dcterms:modified>
</cp:coreProperties>
</file>